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71484A"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1484A" w:rsidP="005D0621">
            <w:pPr>
              <w:rPr>
                <w:b/>
              </w:rPr>
            </w:pPr>
            <w:r>
              <w:rPr>
                <w:rStyle w:val="Firstpagetablebold"/>
              </w:rPr>
              <w:t>19 February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1484A" w:rsidP="004A6D2F">
            <w:pPr>
              <w:rPr>
                <w:rStyle w:val="Firstpagetablebold"/>
              </w:rPr>
            </w:pPr>
            <w:r w:rsidRPr="0071484A">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1484A" w:rsidP="004A6D2F">
            <w:pPr>
              <w:rPr>
                <w:rStyle w:val="Firstpagetablebold"/>
              </w:rPr>
            </w:pPr>
            <w:r w:rsidRPr="0071484A">
              <w:rPr>
                <w:rStyle w:val="Firstpagetablebold"/>
              </w:rPr>
              <w:t>Chief Finance Officer’s report on the robustness of the Council’s 2018/19 budget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71484A" w:rsidRDefault="0071484A" w:rsidP="0071484A">
            <w:r>
              <w:t xml:space="preserve">Under Section 25 of the Local Government Act 2003 there is a requirement for the Council’s Chief Financial Officer to report to Council on: </w:t>
            </w:r>
          </w:p>
          <w:p w:rsidR="0071484A" w:rsidRDefault="0071484A" w:rsidP="0071484A">
            <w:r>
              <w:t xml:space="preserve">a) the robustness of the estimates made for the purposes of the calculations of the budget; and </w:t>
            </w:r>
          </w:p>
          <w:p w:rsidR="0071484A" w:rsidRDefault="0071484A" w:rsidP="0071484A">
            <w:r>
              <w:t xml:space="preserve">b) </w:t>
            </w:r>
            <w:proofErr w:type="gramStart"/>
            <w:r>
              <w:t>the</w:t>
            </w:r>
            <w:proofErr w:type="gramEnd"/>
            <w:r>
              <w:t xml:space="preserve"> adequacy of the proposed financial reserves. </w:t>
            </w:r>
          </w:p>
          <w:p w:rsidR="0071484A" w:rsidRPr="001356F1" w:rsidRDefault="0071484A" w:rsidP="000F4751">
            <w:r w:rsidRPr="00C00321">
              <w:rPr>
                <w:rFonts w:cs="Arial"/>
              </w:rPr>
              <w:t>Council in considering its Budget should have regard to this advice.</w:t>
            </w:r>
          </w:p>
        </w:tc>
      </w:tr>
      <w:tr w:rsidR="005F7F7E" w:rsidRPr="00975B07" w:rsidTr="00A46E98">
        <w:trPr>
          <w:trHeight w:val="413"/>
        </w:trPr>
        <w:tc>
          <w:tcPr>
            <w:tcW w:w="8845" w:type="dxa"/>
            <w:gridSpan w:val="2"/>
            <w:tcBorders>
              <w:bottom w:val="single" w:sz="8" w:space="0" w:color="000000"/>
            </w:tcBorders>
          </w:tcPr>
          <w:p w:rsidR="005F7F7E" w:rsidRPr="00975B07" w:rsidRDefault="00910AAD" w:rsidP="00910AAD">
            <w:r>
              <w:rPr>
                <w:rStyle w:val="Firstpagetablebold"/>
              </w:rPr>
              <w:t>Recommendation</w:t>
            </w:r>
            <w:r w:rsidR="005F7F7E">
              <w:rPr>
                <w:rStyle w:val="Firstpagetablebold"/>
              </w:rPr>
              <w:t>:</w:t>
            </w:r>
            <w:r w:rsidR="007A5A35">
              <w:rPr>
                <w:rStyle w:val="Firstpagetablebold"/>
              </w:rPr>
              <w:t xml:space="preserve"> </w:t>
            </w:r>
            <w:r w:rsidR="005F7F7E">
              <w:rPr>
                <w:rStyle w:val="Firstpagetablebold"/>
              </w:rPr>
              <w:t xml:space="preserve">That </w:t>
            </w:r>
            <w:r w:rsidR="0071484A">
              <w:rPr>
                <w:rStyle w:val="Firstpagetablebold"/>
              </w:rPr>
              <w:t xml:space="preserve">Council </w:t>
            </w:r>
            <w:r w:rsidR="0071484A" w:rsidRPr="0071484A">
              <w:rPr>
                <w:rStyle w:val="Firstpagetablebold"/>
              </w:rPr>
              <w:t>notes this report in setting its budget for 2018/19 and the indicative budgets for 2019/20 – 2021/22</w:t>
            </w:r>
            <w:r w:rsidR="0071484A" w:rsidRPr="001356F1">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71484A">
        <w:tc>
          <w:tcPr>
            <w:tcW w:w="8844" w:type="dxa"/>
            <w:gridSpan w:val="2"/>
            <w:tcBorders>
              <w:top w:val="single" w:sz="8" w:space="0" w:color="000000"/>
              <w:left w:val="single" w:sz="8" w:space="0" w:color="000000"/>
              <w:bottom w:val="single" w:sz="4" w:space="0" w:color="auto"/>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71484A">
        <w:tc>
          <w:tcPr>
            <w:tcW w:w="2438" w:type="dxa"/>
            <w:tcBorders>
              <w:top w:val="single" w:sz="4" w:space="0" w:color="auto"/>
              <w:left w:val="single" w:sz="4" w:space="0" w:color="auto"/>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4" w:space="0" w:color="auto"/>
              <w:left w:val="nil"/>
              <w:bottom w:val="single" w:sz="4" w:space="0" w:color="auto"/>
              <w:right w:val="single" w:sz="4" w:space="0" w:color="auto"/>
            </w:tcBorders>
          </w:tcPr>
          <w:p w:rsidR="00ED5860" w:rsidRPr="001356F1" w:rsidRDefault="0071484A" w:rsidP="004A6D2F">
            <w:r w:rsidRPr="0071484A">
              <w:t>Statement of Reserves and Balances</w:t>
            </w:r>
          </w:p>
        </w:tc>
      </w:tr>
    </w:tbl>
    <w:p w:rsidR="0071484A" w:rsidRDefault="0071484A" w:rsidP="000F1FF0">
      <w:pPr>
        <w:pStyle w:val="WW-Default"/>
        <w:rPr>
          <w:rFonts w:ascii="Arial" w:hAnsi="Arial" w:cs="Arial"/>
          <w:b/>
        </w:rPr>
      </w:pPr>
    </w:p>
    <w:p w:rsidR="0071484A" w:rsidRPr="003B2D83" w:rsidRDefault="00910AAD" w:rsidP="0071484A">
      <w:pPr>
        <w:pStyle w:val="Heading1"/>
      </w:pPr>
      <w:r>
        <w:t>Finance Settlement</w:t>
      </w:r>
    </w:p>
    <w:p w:rsidR="0071484A" w:rsidRPr="000875E1" w:rsidRDefault="0071484A" w:rsidP="0071484A">
      <w:pPr>
        <w:pStyle w:val="bParagraphtext"/>
      </w:pPr>
      <w:r w:rsidRPr="000875E1">
        <w:t xml:space="preserve">The </w:t>
      </w:r>
      <w:r>
        <w:t xml:space="preserve">Provisional </w:t>
      </w:r>
      <w:r w:rsidRPr="000875E1">
        <w:t>Finance Settlement for 201</w:t>
      </w:r>
      <w:r>
        <w:t>8</w:t>
      </w:r>
      <w:r w:rsidRPr="000875E1">
        <w:t>/1</w:t>
      </w:r>
      <w:r>
        <w:t>9</w:t>
      </w:r>
      <w:r w:rsidRPr="000875E1">
        <w:t xml:space="preserve"> published on </w:t>
      </w:r>
      <w:r>
        <w:t xml:space="preserve">19 December 2017 </w:t>
      </w:r>
      <w:r w:rsidRPr="000875E1">
        <w:t>included the following key features :</w:t>
      </w:r>
    </w:p>
    <w:p w:rsidR="0071484A" w:rsidRPr="001A34E9" w:rsidRDefault="0071484A" w:rsidP="00DF2D3F">
      <w:pPr>
        <w:pStyle w:val="Bulletpoints"/>
        <w:rPr>
          <w:rFonts w:eastAsiaTheme="minorHAnsi"/>
          <w:lang w:eastAsia="en-US"/>
        </w:rPr>
      </w:pPr>
      <w:r w:rsidRPr="001A34E9">
        <w:rPr>
          <w:rFonts w:eastAsiaTheme="minorHAnsi"/>
          <w:lang w:eastAsia="en-US"/>
        </w:rPr>
        <w:t xml:space="preserve">Confirmation of the Revenue Support Grant for 2018-19 </w:t>
      </w:r>
    </w:p>
    <w:p w:rsidR="0071484A" w:rsidRPr="001A34E9" w:rsidRDefault="0071484A" w:rsidP="00DF2D3F">
      <w:pPr>
        <w:pStyle w:val="Bulletpoints"/>
        <w:rPr>
          <w:rFonts w:eastAsiaTheme="minorHAnsi"/>
          <w:lang w:eastAsia="en-US"/>
        </w:rPr>
      </w:pPr>
      <w:r w:rsidRPr="001A34E9">
        <w:rPr>
          <w:rFonts w:eastAsiaTheme="minorHAnsi"/>
          <w:lang w:eastAsia="en-US"/>
        </w:rPr>
        <w:t>Indicative figures for the Council’s Business Rates baseline and tariffs for the next two years</w:t>
      </w:r>
    </w:p>
    <w:p w:rsidR="0071484A" w:rsidRPr="004425C1" w:rsidRDefault="0071484A" w:rsidP="00DF2D3F">
      <w:pPr>
        <w:pStyle w:val="Bulletpoints"/>
        <w:rPr>
          <w:rFonts w:eastAsiaTheme="minorHAnsi"/>
          <w:lang w:eastAsia="en-US"/>
        </w:rPr>
      </w:pPr>
      <w:r>
        <w:rPr>
          <w:rFonts w:eastAsiaTheme="minorHAnsi"/>
          <w:lang w:eastAsia="en-US"/>
        </w:rPr>
        <w:t>Confirmation of the 3% referendum level for 2018/19 and 2019/20.</w:t>
      </w:r>
    </w:p>
    <w:p w:rsidR="0071484A" w:rsidRPr="009C3A89" w:rsidRDefault="0071484A" w:rsidP="00DF2D3F">
      <w:pPr>
        <w:pStyle w:val="Bulletpoints"/>
      </w:pPr>
      <w:r w:rsidRPr="009C3A89">
        <w:rPr>
          <w:rFonts w:eastAsiaTheme="minorHAnsi"/>
          <w:lang w:eastAsia="en-US"/>
        </w:rPr>
        <w:t xml:space="preserve">Confirmation of the New Homes Bonus </w:t>
      </w:r>
      <w:r>
        <w:rPr>
          <w:rFonts w:eastAsiaTheme="minorHAnsi"/>
          <w:lang w:eastAsia="en-US"/>
        </w:rPr>
        <w:t>figures for 2018-19</w:t>
      </w:r>
    </w:p>
    <w:p w:rsidR="0071484A" w:rsidRDefault="0071484A" w:rsidP="0071484A">
      <w:pPr>
        <w:pStyle w:val="bParagraphtext"/>
      </w:pPr>
      <w:r w:rsidRPr="008230A1">
        <w:t xml:space="preserve">In total, the changes gave rise to a </w:t>
      </w:r>
      <w:r>
        <w:t xml:space="preserve">net increase </w:t>
      </w:r>
      <w:r w:rsidRPr="008230A1">
        <w:t>of £</w:t>
      </w:r>
      <w:r>
        <w:t>445</w:t>
      </w:r>
      <w:r w:rsidRPr="008230A1">
        <w:t xml:space="preserve">k of resources in the Council’s budget over the next four years. </w:t>
      </w:r>
    </w:p>
    <w:p w:rsidR="0071484A" w:rsidRPr="000875E1" w:rsidRDefault="0071484A" w:rsidP="0071484A">
      <w:pPr>
        <w:pStyle w:val="bParagraphtext"/>
      </w:pPr>
      <w:r w:rsidRPr="000875E1">
        <w:t xml:space="preserve">The Council’s Settlement Funding Assessment (SFA) </w:t>
      </w:r>
      <w:r>
        <w:t xml:space="preserve">consists of the Revenue Support Grant (RSG) and the Councils share of locally retained business rates </w:t>
      </w:r>
      <w:r>
        <w:lastRenderedPageBreak/>
        <w:t xml:space="preserve">(baseline funding). The amount of business rates retained by the authority relies on a number of factors including the amount of income collected in comparison to the baseline funding level. Baseline funding included within the SFA is therefore almost certainly not going to be the amount of business rates retained. Notwithstanding this the SFA for the authority has </w:t>
      </w:r>
      <w:r w:rsidRPr="000875E1">
        <w:t>reduced from £</w:t>
      </w:r>
      <w:r>
        <w:t>6</w:t>
      </w:r>
      <w:r w:rsidRPr="000875E1">
        <w:t>.</w:t>
      </w:r>
      <w:r>
        <w:t>7</w:t>
      </w:r>
      <w:r w:rsidRPr="000875E1">
        <w:t xml:space="preserve"> million to £</w:t>
      </w:r>
      <w:r>
        <w:t>5</w:t>
      </w:r>
      <w:r w:rsidRPr="000875E1">
        <w:t>.</w:t>
      </w:r>
      <w:r>
        <w:t>9</w:t>
      </w:r>
      <w:r w:rsidRPr="000875E1">
        <w:t xml:space="preserve"> million over the </w:t>
      </w:r>
      <w:r>
        <w:t xml:space="preserve">next two </w:t>
      </w:r>
      <w:r w:rsidRPr="000875E1">
        <w:t>year</w:t>
      </w:r>
      <w:r>
        <w:t xml:space="preserve"> period. </w:t>
      </w:r>
    </w:p>
    <w:p w:rsidR="0071484A" w:rsidRDefault="0071484A" w:rsidP="0071484A">
      <w:pPr>
        <w:pStyle w:val="bParagraphtext"/>
      </w:pPr>
      <w:r w:rsidRPr="008C6A20">
        <w:t>There are still a number of</w:t>
      </w:r>
      <w:r>
        <w:t xml:space="preserve"> significant</w:t>
      </w:r>
      <w:r w:rsidRPr="008C6A20">
        <w:t xml:space="preserve"> uncertainties </w:t>
      </w:r>
      <w:r w:rsidRPr="00475FF8">
        <w:t xml:space="preserve">going forward around Housing, </w:t>
      </w:r>
      <w:r>
        <w:t xml:space="preserve">the implications of the Fair Funding Review on </w:t>
      </w:r>
      <w:r w:rsidRPr="00475FF8">
        <w:t>Business Rates</w:t>
      </w:r>
      <w:r>
        <w:t>,</w:t>
      </w:r>
      <w:r w:rsidRPr="00475FF8">
        <w:t xml:space="preserve"> New Homes Bonus</w:t>
      </w:r>
      <w:r>
        <w:t xml:space="preserve"> and</w:t>
      </w:r>
      <w:r w:rsidRPr="00475FF8">
        <w:t xml:space="preserve"> </w:t>
      </w:r>
      <w:r>
        <w:t>the implications of Brexit and the knock on effect to income streams. G</w:t>
      </w:r>
      <w:r w:rsidRPr="00475FF8">
        <w:t xml:space="preserve">iven the robust scrutiny of the Council’s budget setting process, prudent financial management and significant efficiency savings together with other mitigations, including the prudent level of reserves and balances the Council’s financial position over this period is </w:t>
      </w:r>
      <w:r>
        <w:t xml:space="preserve">considered </w:t>
      </w:r>
      <w:r w:rsidRPr="00475FF8">
        <w:t>manageable.</w:t>
      </w:r>
    </w:p>
    <w:p w:rsidR="00DF2D3F" w:rsidRPr="000875E1" w:rsidRDefault="00DF2D3F" w:rsidP="00DF2D3F">
      <w:pPr>
        <w:pStyle w:val="bParagraphtext"/>
        <w:numPr>
          <w:ilvl w:val="0"/>
          <w:numId w:val="0"/>
        </w:numPr>
        <w:ind w:left="360"/>
      </w:pPr>
    </w:p>
    <w:p w:rsidR="0071484A" w:rsidRPr="00DE02AD" w:rsidRDefault="0071484A" w:rsidP="0071484A">
      <w:pPr>
        <w:pStyle w:val="Heading1"/>
      </w:pPr>
      <w:r w:rsidRPr="00DE02AD">
        <w:t>Preparation of the Medium Term Financial Plan</w:t>
      </w:r>
    </w:p>
    <w:p w:rsidR="0071484A" w:rsidRPr="00DE02AD" w:rsidRDefault="0071484A" w:rsidP="0071484A">
      <w:pPr>
        <w:pStyle w:val="bParagraphtext"/>
      </w:pPr>
      <w:r w:rsidRPr="00DE02AD">
        <w:t xml:space="preserve">As in previous years the Council has undertaken a prudent and robust approach in developing its Medium Term Financial Plan. </w:t>
      </w:r>
    </w:p>
    <w:p w:rsidR="0071484A" w:rsidRPr="00B546BD" w:rsidRDefault="0071484A" w:rsidP="0071484A">
      <w:pPr>
        <w:pStyle w:val="bParagraphtext"/>
      </w:pPr>
      <w:r w:rsidRPr="00DE02AD">
        <w:t>Over</w:t>
      </w:r>
      <w:r w:rsidRPr="00B546BD">
        <w:t xml:space="preserve"> the next four years the Council will generate a further £</w:t>
      </w:r>
      <w:r>
        <w:t>2.9</w:t>
      </w:r>
      <w:r w:rsidRPr="00B546BD">
        <w:t xml:space="preserve"> million of </w:t>
      </w:r>
      <w:r w:rsidRPr="0039175F">
        <w:t>efficiencies over</w:t>
      </w:r>
      <w:r>
        <w:t xml:space="preserve"> the 4 year period</w:t>
      </w:r>
      <w:r w:rsidRPr="00B546BD">
        <w:t>, with on-going efficiencies of £</w:t>
      </w:r>
      <w:r>
        <w:t>1.2</w:t>
      </w:r>
      <w:r w:rsidRPr="00B546BD">
        <w:t xml:space="preserve"> million being achieved beyond 2021/22. They include:</w:t>
      </w:r>
    </w:p>
    <w:p w:rsidR="0071484A" w:rsidRPr="00DF2D3F" w:rsidRDefault="0071484A" w:rsidP="00DF2D3F">
      <w:pPr>
        <w:pStyle w:val="Bulletpoints"/>
        <w:rPr>
          <w:rFonts w:eastAsiaTheme="minorHAnsi"/>
          <w:lang w:eastAsia="en-US"/>
        </w:rPr>
      </w:pPr>
      <w:r w:rsidRPr="00DF2D3F">
        <w:rPr>
          <w:rFonts w:eastAsiaTheme="minorHAnsi"/>
          <w:lang w:eastAsia="en-US"/>
        </w:rPr>
        <w:t>Moving services to on-line setting - £474k over 4 years</w:t>
      </w:r>
    </w:p>
    <w:p w:rsidR="0071484A" w:rsidRPr="00DF2D3F" w:rsidRDefault="0071484A" w:rsidP="00DF2D3F">
      <w:pPr>
        <w:pStyle w:val="Bulletpoints"/>
        <w:rPr>
          <w:rFonts w:eastAsiaTheme="minorHAnsi"/>
          <w:lang w:eastAsia="en-US"/>
        </w:rPr>
      </w:pPr>
      <w:r w:rsidRPr="00DF2D3F">
        <w:rPr>
          <w:rFonts w:eastAsiaTheme="minorHAnsi"/>
          <w:lang w:eastAsia="en-US"/>
        </w:rPr>
        <w:t>Further roll out of mobile phones -£120k over 4 years</w:t>
      </w:r>
    </w:p>
    <w:p w:rsidR="0071484A" w:rsidRPr="00DF2D3F" w:rsidRDefault="0071484A" w:rsidP="00DF2D3F">
      <w:pPr>
        <w:pStyle w:val="Bulletpoints"/>
        <w:rPr>
          <w:rFonts w:eastAsiaTheme="minorHAnsi"/>
          <w:lang w:eastAsia="en-US"/>
        </w:rPr>
      </w:pPr>
      <w:r w:rsidRPr="00DF2D3F">
        <w:rPr>
          <w:rFonts w:eastAsiaTheme="minorHAnsi"/>
          <w:lang w:eastAsia="en-US"/>
        </w:rPr>
        <w:t>Savings in payroll ICT costs -£124k over 2 years</w:t>
      </w:r>
    </w:p>
    <w:p w:rsidR="0071484A" w:rsidRPr="00DF2D3F" w:rsidRDefault="0071484A" w:rsidP="00DF2D3F">
      <w:pPr>
        <w:pStyle w:val="Bulletpoints"/>
        <w:rPr>
          <w:rFonts w:eastAsiaTheme="minorHAnsi"/>
          <w:lang w:eastAsia="en-US"/>
        </w:rPr>
      </w:pPr>
      <w:r w:rsidRPr="00DF2D3F">
        <w:rPr>
          <w:rFonts w:eastAsiaTheme="minorHAnsi"/>
          <w:lang w:eastAsia="en-US"/>
        </w:rPr>
        <w:t xml:space="preserve">Reduced temporary accommodation costs £1.3 million over the 4 year period </w:t>
      </w:r>
    </w:p>
    <w:p w:rsidR="0071484A" w:rsidRPr="00DF2D3F" w:rsidRDefault="0071484A" w:rsidP="00DF2D3F">
      <w:pPr>
        <w:pStyle w:val="Bulletpoints"/>
        <w:rPr>
          <w:rFonts w:eastAsiaTheme="minorHAnsi"/>
          <w:lang w:eastAsia="en-US"/>
        </w:rPr>
      </w:pPr>
      <w:r w:rsidRPr="00DF2D3F">
        <w:rPr>
          <w:rFonts w:eastAsiaTheme="minorHAnsi"/>
          <w:lang w:eastAsia="en-US"/>
        </w:rPr>
        <w:t>Reduced staffing and resilience staffing re Universal Credit £600k over 4 years</w:t>
      </w:r>
    </w:p>
    <w:p w:rsidR="0071484A" w:rsidRPr="00DF2D3F" w:rsidRDefault="0071484A" w:rsidP="00DF2D3F">
      <w:pPr>
        <w:pStyle w:val="Bulletpoints"/>
        <w:rPr>
          <w:rFonts w:eastAsiaTheme="minorHAnsi"/>
          <w:lang w:eastAsia="en-US"/>
        </w:rPr>
      </w:pPr>
      <w:r w:rsidRPr="00DF2D3F">
        <w:rPr>
          <w:rFonts w:eastAsiaTheme="minorHAnsi"/>
          <w:lang w:eastAsia="en-US"/>
        </w:rPr>
        <w:t>Operational savings from construction of waste recycling station -£240k per annum</w:t>
      </w:r>
    </w:p>
    <w:p w:rsidR="0071484A" w:rsidRPr="00B546BD" w:rsidRDefault="0071484A" w:rsidP="0071484A">
      <w:pPr>
        <w:pStyle w:val="bParagraphtext"/>
      </w:pPr>
      <w:r>
        <w:t xml:space="preserve">All aspects of the Council’s budget, </w:t>
      </w:r>
      <w:r w:rsidRPr="00B546BD">
        <w:t xml:space="preserve">efficiency savings, </w:t>
      </w:r>
      <w:proofErr w:type="gramStart"/>
      <w:r w:rsidRPr="00B546BD">
        <w:t>additional</w:t>
      </w:r>
      <w:proofErr w:type="gramEnd"/>
      <w:r w:rsidRPr="00B546BD">
        <w:t xml:space="preserve"> income streams service reductions </w:t>
      </w:r>
      <w:r>
        <w:t xml:space="preserve">and pressures </w:t>
      </w:r>
      <w:r w:rsidRPr="00B546BD">
        <w:t xml:space="preserve">have been subject to rigorous review, with Service Heads being required to review the plans they put forward in previous years and confirm delivery of the proposals. Any changes to previous proposals put forward have been reflected in the updated </w:t>
      </w:r>
      <w:r>
        <w:t>Medium Term Financial P</w:t>
      </w:r>
      <w:r w:rsidRPr="00B546BD">
        <w:t xml:space="preserve">lan. </w:t>
      </w:r>
    </w:p>
    <w:p w:rsidR="0071484A" w:rsidRPr="00DF2D3F" w:rsidRDefault="0071484A" w:rsidP="0071484A">
      <w:pPr>
        <w:pStyle w:val="bParagraphtext"/>
      </w:pPr>
      <w:r w:rsidRPr="00DF2D3F">
        <w:t xml:space="preserve">The 2018-19 budget indicates that Council services are funded by Government Grant (£0.6m), Business Rates( £8.1m), New Homes Bonus  (£1.2m), Council Tax of £13.6 million and income from fees and charges (£34.7m), including car parking, commercial rent income, planning and building control fees  and trading services income (£9m); primarily provided by Oxford Direct Services. The Medium Term Financial Strategy assumes additional traded income over the next four years of £2m. </w:t>
      </w:r>
    </w:p>
    <w:p w:rsidR="0071484A" w:rsidRPr="00DF2D3F" w:rsidRDefault="0071484A" w:rsidP="00DF2D3F">
      <w:pPr>
        <w:pStyle w:val="bParagraphtext"/>
      </w:pPr>
      <w:r w:rsidRPr="002F4A07">
        <w:t>Scrutiny of the</w:t>
      </w:r>
      <w:r w:rsidRPr="00DE02AD">
        <w:t xml:space="preserve"> budget has been undertaken by </w:t>
      </w:r>
    </w:p>
    <w:p w:rsidR="0071484A" w:rsidRPr="00DF2D3F" w:rsidRDefault="0071484A" w:rsidP="00910AAD">
      <w:pPr>
        <w:pStyle w:val="ListParagraph"/>
        <w:numPr>
          <w:ilvl w:val="0"/>
          <w:numId w:val="7"/>
        </w:numPr>
        <w:tabs>
          <w:tab w:val="clear" w:pos="426"/>
          <w:tab w:val="left" w:pos="851"/>
        </w:tabs>
        <w:ind w:left="850" w:hanging="425"/>
        <w:rPr>
          <w:rFonts w:eastAsiaTheme="minorHAnsi" w:cs="Arial"/>
          <w:lang w:eastAsia="en-US"/>
        </w:rPr>
      </w:pPr>
      <w:r w:rsidRPr="001A34E9">
        <w:rPr>
          <w:kern w:val="1"/>
        </w:rPr>
        <w:t xml:space="preserve">The </w:t>
      </w:r>
      <w:r w:rsidRPr="00DF2D3F">
        <w:rPr>
          <w:rFonts w:eastAsiaTheme="minorHAnsi" w:cs="Arial"/>
          <w:lang w:eastAsia="en-US"/>
        </w:rPr>
        <w:t xml:space="preserve">Finance Team </w:t>
      </w:r>
    </w:p>
    <w:p w:rsidR="0071484A" w:rsidRPr="00DF2D3F" w:rsidRDefault="0071484A" w:rsidP="00910AAD">
      <w:pPr>
        <w:pStyle w:val="ListParagraph"/>
        <w:numPr>
          <w:ilvl w:val="0"/>
          <w:numId w:val="7"/>
        </w:numPr>
        <w:tabs>
          <w:tab w:val="clear" w:pos="426"/>
          <w:tab w:val="left" w:pos="851"/>
        </w:tabs>
        <w:ind w:left="850" w:hanging="425"/>
        <w:rPr>
          <w:rFonts w:eastAsiaTheme="minorHAnsi" w:cs="Arial"/>
          <w:lang w:eastAsia="en-US"/>
        </w:rPr>
      </w:pPr>
      <w:r w:rsidRPr="00DF2D3F">
        <w:rPr>
          <w:rFonts w:eastAsiaTheme="minorHAnsi" w:cs="Arial"/>
          <w:lang w:eastAsia="en-US"/>
        </w:rPr>
        <w:t xml:space="preserve">Directors and the Chief Executive </w:t>
      </w:r>
    </w:p>
    <w:p w:rsidR="0071484A" w:rsidRPr="00DF2D3F" w:rsidRDefault="0071484A" w:rsidP="00910AAD">
      <w:pPr>
        <w:pStyle w:val="ListParagraph"/>
        <w:numPr>
          <w:ilvl w:val="0"/>
          <w:numId w:val="7"/>
        </w:numPr>
        <w:tabs>
          <w:tab w:val="clear" w:pos="426"/>
          <w:tab w:val="left" w:pos="851"/>
        </w:tabs>
        <w:ind w:left="850" w:hanging="425"/>
        <w:rPr>
          <w:rFonts w:eastAsiaTheme="minorHAnsi" w:cs="Arial"/>
          <w:lang w:eastAsia="en-US"/>
        </w:rPr>
      </w:pPr>
      <w:r w:rsidRPr="00DF2D3F">
        <w:rPr>
          <w:rFonts w:eastAsiaTheme="minorHAnsi" w:cs="Arial"/>
          <w:lang w:eastAsia="en-US"/>
        </w:rPr>
        <w:lastRenderedPageBreak/>
        <w:t xml:space="preserve">Executive Members </w:t>
      </w:r>
    </w:p>
    <w:p w:rsidR="0071484A" w:rsidRPr="00DF2D3F" w:rsidRDefault="0071484A" w:rsidP="00910AAD">
      <w:pPr>
        <w:pStyle w:val="ListParagraph"/>
        <w:numPr>
          <w:ilvl w:val="0"/>
          <w:numId w:val="7"/>
        </w:numPr>
        <w:tabs>
          <w:tab w:val="clear" w:pos="426"/>
          <w:tab w:val="left" w:pos="851"/>
        </w:tabs>
        <w:ind w:left="850" w:hanging="425"/>
        <w:rPr>
          <w:rFonts w:ascii="T T 6788o 00" w:hAnsi="T T 6788o 00"/>
          <w:kern w:val="1"/>
        </w:rPr>
      </w:pPr>
      <w:r w:rsidRPr="00DF2D3F">
        <w:rPr>
          <w:rFonts w:eastAsiaTheme="minorHAnsi" w:cs="Arial"/>
          <w:lang w:eastAsia="en-US"/>
        </w:rPr>
        <w:t>The Scrutiny</w:t>
      </w:r>
      <w:r w:rsidRPr="001A34E9">
        <w:rPr>
          <w:kern w:val="1"/>
        </w:rPr>
        <w:t xml:space="preserve"> Committee’s Finance Panel </w:t>
      </w:r>
    </w:p>
    <w:p w:rsidR="0071484A" w:rsidRPr="00DF2D3F" w:rsidRDefault="0071484A" w:rsidP="0071484A">
      <w:pPr>
        <w:pStyle w:val="bParagraphtext"/>
        <w:rPr>
          <w:rFonts w:ascii="T T 6788o 00" w:hAnsi="T T 6788o 00"/>
        </w:rPr>
      </w:pPr>
      <w:r w:rsidRPr="00DE02AD">
        <w:t xml:space="preserve">Monitoring of the budget through the year is undertaken by Financial Services in conjunction with Heads of Service and Cost Centre Managers to ensure that the budget is on target or variations are reported and acted </w:t>
      </w:r>
      <w:r>
        <w:t>on</w:t>
      </w:r>
      <w:r w:rsidRPr="00DE02AD">
        <w:t xml:space="preserve"> at an early stage. Monthly monitoring reports are considered by the Council’s Corporate Management Team and quarterly reports are presented to the City Executive Board. </w:t>
      </w:r>
    </w:p>
    <w:p w:rsidR="00DF2D3F" w:rsidRPr="00DE02AD" w:rsidRDefault="00DF2D3F" w:rsidP="00910AAD"/>
    <w:p w:rsidR="0071484A" w:rsidRPr="00A134F1" w:rsidRDefault="0071484A" w:rsidP="0071484A">
      <w:pPr>
        <w:pStyle w:val="Heading1"/>
        <w:rPr>
          <w:rFonts w:ascii="T T 6788o 00" w:hAnsi="T T 6788o 00"/>
        </w:rPr>
      </w:pPr>
      <w:r w:rsidRPr="00A134F1">
        <w:t xml:space="preserve">General Fund Assumptions </w:t>
      </w:r>
    </w:p>
    <w:p w:rsidR="0071484A" w:rsidRPr="00A134F1" w:rsidRDefault="0071484A" w:rsidP="0071484A">
      <w:pPr>
        <w:pStyle w:val="bParagraphtext"/>
        <w:rPr>
          <w:rFonts w:ascii="T T 6788o 00" w:hAnsi="T T 6788o 00"/>
        </w:rPr>
      </w:pPr>
      <w:r w:rsidRPr="00A134F1">
        <w:t xml:space="preserve">Assumptions on which the four year Medium Term </w:t>
      </w:r>
      <w:r>
        <w:t xml:space="preserve">Financial </w:t>
      </w:r>
      <w:r w:rsidRPr="00A134F1">
        <w:t>Plan are based are contained within the main budget report presented elsewhere on the agenda, however,  the key assumptions include:</w:t>
      </w:r>
    </w:p>
    <w:p w:rsidR="0071484A" w:rsidRPr="00DF2D3F" w:rsidRDefault="0071484A" w:rsidP="00DF2D3F">
      <w:pPr>
        <w:pStyle w:val="Bulletpoints"/>
        <w:rPr>
          <w:rFonts w:eastAsiaTheme="minorHAnsi"/>
          <w:lang w:eastAsia="en-US"/>
        </w:rPr>
      </w:pPr>
      <w:r w:rsidRPr="001A34E9">
        <w:rPr>
          <w:b/>
          <w:kern w:val="1"/>
        </w:rPr>
        <w:t xml:space="preserve">Council Tax </w:t>
      </w:r>
      <w:r w:rsidRPr="00DF2D3F">
        <w:rPr>
          <w:rFonts w:eastAsiaTheme="minorHAnsi"/>
          <w:b/>
          <w:lang w:eastAsia="en-US"/>
        </w:rPr>
        <w:t>increase</w:t>
      </w:r>
      <w:r w:rsidRPr="00DF2D3F">
        <w:rPr>
          <w:rFonts w:eastAsiaTheme="minorHAnsi"/>
          <w:lang w:eastAsia="en-US"/>
        </w:rPr>
        <w:t>- The assumed Council Tax increase is 2.99% per annum for 2018-19 and 2019-20 with 1.99% thereafter.  This is below the referendum level for 2018/19 and 2019/20.</w:t>
      </w:r>
    </w:p>
    <w:p w:rsidR="0071484A" w:rsidRPr="00DF2D3F" w:rsidRDefault="0071484A" w:rsidP="00DF2D3F">
      <w:pPr>
        <w:pStyle w:val="Bulletpoints"/>
        <w:rPr>
          <w:rFonts w:eastAsiaTheme="minorHAnsi"/>
          <w:lang w:eastAsia="en-US"/>
        </w:rPr>
      </w:pPr>
      <w:r w:rsidRPr="00DF2D3F">
        <w:rPr>
          <w:rFonts w:eastAsiaTheme="minorHAnsi"/>
          <w:b/>
          <w:lang w:eastAsia="en-US"/>
        </w:rPr>
        <w:t>Finance Settlement</w:t>
      </w:r>
      <w:r w:rsidRPr="00DF2D3F">
        <w:rPr>
          <w:rFonts w:eastAsiaTheme="minorHAnsi"/>
          <w:lang w:eastAsia="en-US"/>
        </w:rPr>
        <w:t xml:space="preserve"> – The settlement figures are in line with the Government’s announcement in December 2017. </w:t>
      </w:r>
    </w:p>
    <w:p w:rsidR="0071484A" w:rsidRPr="001A34E9" w:rsidRDefault="0071484A" w:rsidP="00DF2D3F">
      <w:pPr>
        <w:pStyle w:val="Bulletpoints"/>
      </w:pPr>
      <w:r w:rsidRPr="00DF2D3F">
        <w:rPr>
          <w:rFonts w:eastAsiaTheme="minorHAnsi"/>
          <w:b/>
          <w:lang w:eastAsia="en-US"/>
        </w:rPr>
        <w:t>Investment Interest</w:t>
      </w:r>
      <w:r w:rsidRPr="00DF2D3F">
        <w:rPr>
          <w:rFonts w:eastAsiaTheme="minorHAnsi"/>
          <w:lang w:eastAsia="en-US"/>
        </w:rPr>
        <w:t xml:space="preserve"> – The Bank of England base rate is currently 0.50%.  Interest rate projections in the MTFP range from 0.3% to 0.5% over the next four years in line with</w:t>
      </w:r>
      <w:r w:rsidRPr="001A34E9">
        <w:t xml:space="preserve"> forecasts. The Council currently benefits from a number of property investments :</w:t>
      </w:r>
    </w:p>
    <w:p w:rsidR="0071484A" w:rsidRPr="003A26F8" w:rsidRDefault="0071484A" w:rsidP="00910AAD">
      <w:pPr>
        <w:numPr>
          <w:ilvl w:val="1"/>
          <w:numId w:val="6"/>
        </w:numPr>
        <w:tabs>
          <w:tab w:val="left" w:pos="2160"/>
          <w:tab w:val="num" w:pos="2629"/>
        </w:tabs>
        <w:rPr>
          <w:rFonts w:cs="Arial"/>
        </w:rPr>
      </w:pPr>
      <w:r w:rsidRPr="003A26F8">
        <w:rPr>
          <w:rFonts w:cs="Arial"/>
          <w:b/>
        </w:rPr>
        <w:t xml:space="preserve">External Managed Property Investments </w:t>
      </w:r>
      <w:r w:rsidRPr="003A26F8">
        <w:rPr>
          <w:rFonts w:cs="Arial"/>
        </w:rPr>
        <w:t>– The Council has £10 million invested in two funds. The Council makes a return of around 3.5% plus any increase in the capital value</w:t>
      </w:r>
    </w:p>
    <w:p w:rsidR="0071484A" w:rsidRPr="003A26F8" w:rsidRDefault="0071484A" w:rsidP="00910AAD">
      <w:pPr>
        <w:numPr>
          <w:ilvl w:val="1"/>
          <w:numId w:val="6"/>
        </w:numPr>
        <w:tabs>
          <w:tab w:val="left" w:pos="2160"/>
          <w:tab w:val="num" w:pos="2629"/>
        </w:tabs>
        <w:rPr>
          <w:rFonts w:cs="Arial"/>
        </w:rPr>
      </w:pPr>
      <w:proofErr w:type="spellStart"/>
      <w:r w:rsidRPr="003A26F8">
        <w:rPr>
          <w:rFonts w:cs="Arial"/>
          <w:b/>
        </w:rPr>
        <w:t>OxWed</w:t>
      </w:r>
      <w:proofErr w:type="spellEnd"/>
      <w:r w:rsidRPr="003A26F8">
        <w:rPr>
          <w:rFonts w:cs="Arial"/>
          <w:b/>
        </w:rPr>
        <w:t xml:space="preserve"> Development </w:t>
      </w:r>
      <w:r w:rsidRPr="003A26F8">
        <w:rPr>
          <w:rFonts w:cs="Arial"/>
        </w:rPr>
        <w:t xml:space="preserve">– The Council has made loans of approximately £6.5 million into its 50/50 Joint venture with Nuffield College which attracts a return of 6.5% and has agreed to loan a further £4.1 </w:t>
      </w:r>
      <w:proofErr w:type="gramStart"/>
      <w:r w:rsidRPr="003A26F8">
        <w:rPr>
          <w:rFonts w:cs="Arial"/>
        </w:rPr>
        <w:t>million  on</w:t>
      </w:r>
      <w:proofErr w:type="gramEnd"/>
      <w:r w:rsidRPr="003A26F8">
        <w:rPr>
          <w:rFonts w:cs="Arial"/>
        </w:rPr>
        <w:t xml:space="preserve"> similar terms.</w:t>
      </w:r>
    </w:p>
    <w:p w:rsidR="0071484A" w:rsidRPr="003A26F8" w:rsidRDefault="0071484A" w:rsidP="00910AAD">
      <w:pPr>
        <w:numPr>
          <w:ilvl w:val="1"/>
          <w:numId w:val="6"/>
        </w:numPr>
        <w:tabs>
          <w:tab w:val="left" w:pos="2160"/>
          <w:tab w:val="num" w:pos="2629"/>
        </w:tabs>
        <w:rPr>
          <w:rFonts w:cs="Arial"/>
        </w:rPr>
      </w:pPr>
      <w:r w:rsidRPr="003A26F8">
        <w:rPr>
          <w:rFonts w:cs="Arial"/>
          <w:b/>
        </w:rPr>
        <w:t xml:space="preserve">Housing Company </w:t>
      </w:r>
      <w:r w:rsidRPr="003A26F8">
        <w:rPr>
          <w:rFonts w:cs="Arial"/>
        </w:rPr>
        <w:t>– The Council has agreed a loan facility for the first four years with Oxford City Housing Ltd, of £</w:t>
      </w:r>
      <w:r>
        <w:rPr>
          <w:rFonts w:cs="Arial"/>
        </w:rPr>
        <w:t>74</w:t>
      </w:r>
      <w:r w:rsidRPr="003A26F8">
        <w:rPr>
          <w:rFonts w:cs="Arial"/>
        </w:rPr>
        <w:t xml:space="preserve"> million.  The Council makes a return above that which it borrows from PWLB.  The Council has already loaned £742k to the Company in respect of the acquisition of properties in 2016-17. All loans will be at state aid </w:t>
      </w:r>
      <w:proofErr w:type="gramStart"/>
      <w:r w:rsidRPr="003A26F8">
        <w:rPr>
          <w:rFonts w:cs="Arial"/>
        </w:rPr>
        <w:t>compliant rates which for social housing activity is</w:t>
      </w:r>
      <w:proofErr w:type="gramEnd"/>
      <w:r w:rsidRPr="003A26F8">
        <w:rPr>
          <w:rFonts w:cs="Arial"/>
        </w:rPr>
        <w:t xml:space="preserve"> 1% over PWLB and for non-social housing at 4% above PWLB. Interest currently included in the Council’s MTFP over the next four years is £1.8million and is dependent on the Company undertaking the developments and drawing down the loans and the company continuing to take the loans from the Council, which are currently competitive in the market.     </w:t>
      </w:r>
    </w:p>
    <w:p w:rsidR="0071484A" w:rsidRPr="001A34E9" w:rsidRDefault="0071484A" w:rsidP="00910AAD">
      <w:pPr>
        <w:pStyle w:val="ListParagraph"/>
        <w:widowControl w:val="0"/>
        <w:numPr>
          <w:ilvl w:val="0"/>
          <w:numId w:val="8"/>
        </w:numPr>
        <w:tabs>
          <w:tab w:val="left" w:pos="1701"/>
        </w:tabs>
        <w:autoSpaceDE w:val="0"/>
        <w:autoSpaceDN w:val="0"/>
        <w:adjustRightInd w:val="0"/>
        <w:ind w:left="993"/>
        <w:rPr>
          <w:rFonts w:ascii="T T 6788o 00" w:hAnsi="T T 6788o 00"/>
          <w:kern w:val="1"/>
        </w:rPr>
      </w:pPr>
      <w:r w:rsidRPr="00DF2D3F">
        <w:rPr>
          <w:rFonts w:eastAsiaTheme="minorHAnsi" w:cs="Arial"/>
          <w:b/>
          <w:lang w:eastAsia="en-US"/>
        </w:rPr>
        <w:t>Retained Business Rates</w:t>
      </w:r>
      <w:r w:rsidRPr="00DF2D3F">
        <w:rPr>
          <w:rFonts w:eastAsiaTheme="minorHAnsi" w:cs="Arial"/>
          <w:lang w:eastAsia="en-US"/>
        </w:rPr>
        <w:t xml:space="preserve"> – The Medium Term Plan includes estimates of the amount of Retained Business Rates income for the authority, based on the Government’s indication of tariffs and baseline income. Business rates income is a significant part of the Council’s income and estimates going forward present a high risk to the Medium Term Financial Plan, as in addition to the risk of non-collection and rating appeals the implications of the </w:t>
      </w:r>
      <w:r w:rsidRPr="00DF2D3F">
        <w:rPr>
          <w:rFonts w:eastAsiaTheme="minorHAnsi" w:cs="Arial"/>
          <w:lang w:eastAsia="en-US"/>
        </w:rPr>
        <w:lastRenderedPageBreak/>
        <w:t>Government’s Fair Funding Review and associated business rates reset due to be</w:t>
      </w:r>
      <w:r w:rsidRPr="001A34E9">
        <w:rPr>
          <w:kern w:val="1"/>
        </w:rPr>
        <w:t xml:space="preserve"> implemented in 2020-21 are as yet unknown.</w:t>
      </w:r>
    </w:p>
    <w:p w:rsidR="0071484A" w:rsidRPr="00DF2D3F" w:rsidRDefault="0071484A" w:rsidP="00DF2D3F">
      <w:pPr>
        <w:pStyle w:val="Bulletpoints"/>
        <w:rPr>
          <w:rFonts w:eastAsiaTheme="minorHAnsi"/>
          <w:lang w:eastAsia="en-US"/>
        </w:rPr>
      </w:pPr>
      <w:r w:rsidRPr="001A34E9">
        <w:rPr>
          <w:b/>
        </w:rPr>
        <w:t xml:space="preserve">Pay </w:t>
      </w:r>
      <w:r w:rsidRPr="00DF2D3F">
        <w:rPr>
          <w:rFonts w:eastAsiaTheme="minorHAnsi"/>
          <w:b/>
          <w:lang w:eastAsia="en-US"/>
        </w:rPr>
        <w:t>Assumptions</w:t>
      </w:r>
      <w:r w:rsidRPr="00DF2D3F">
        <w:rPr>
          <w:rFonts w:eastAsiaTheme="minorHAnsi"/>
          <w:lang w:eastAsia="en-US"/>
        </w:rPr>
        <w:t xml:space="preserve"> – During 2017/18 a new pay deal was agreed in respect of the three year period commencing 1/4/18. In accordance with the agreement the MTFP makes provision for increases based on the higher of 1.25% or £575,   the reinstatement of spinal point increases with effect from 1/10/2019 and the removal of the Partnership Payment.</w:t>
      </w:r>
    </w:p>
    <w:p w:rsidR="0071484A" w:rsidRPr="00DF2D3F" w:rsidRDefault="0071484A" w:rsidP="00DF2D3F">
      <w:pPr>
        <w:pStyle w:val="Bulletpoints"/>
        <w:rPr>
          <w:rFonts w:eastAsiaTheme="minorHAnsi"/>
          <w:lang w:eastAsia="en-US"/>
        </w:rPr>
      </w:pPr>
      <w:r w:rsidRPr="00DF2D3F">
        <w:rPr>
          <w:rFonts w:eastAsiaTheme="minorHAnsi"/>
          <w:b/>
          <w:lang w:eastAsia="en-US"/>
        </w:rPr>
        <w:t>Contribution from Local Authority Trading Company (LATCO)</w:t>
      </w:r>
      <w:r w:rsidRPr="00DF2D3F">
        <w:rPr>
          <w:rFonts w:eastAsiaTheme="minorHAnsi"/>
          <w:lang w:eastAsia="en-US"/>
        </w:rPr>
        <w:t xml:space="preserve"> – Provision has been made for increased income from the LATCO of around £500k per annum once the company is fully established.</w:t>
      </w:r>
    </w:p>
    <w:p w:rsidR="0071484A" w:rsidRPr="00DF2D3F" w:rsidRDefault="0071484A" w:rsidP="00DF2D3F">
      <w:pPr>
        <w:pStyle w:val="Bulletpoints"/>
        <w:rPr>
          <w:rFonts w:eastAsiaTheme="minorHAnsi"/>
          <w:lang w:eastAsia="en-US"/>
        </w:rPr>
      </w:pPr>
      <w:r w:rsidRPr="00DF2D3F">
        <w:rPr>
          <w:rFonts w:eastAsiaTheme="minorHAnsi"/>
          <w:b/>
          <w:lang w:eastAsia="en-US"/>
        </w:rPr>
        <w:t>New Homes Bonus</w:t>
      </w:r>
      <w:r w:rsidRPr="00DF2D3F">
        <w:rPr>
          <w:rFonts w:eastAsiaTheme="minorHAnsi"/>
          <w:lang w:eastAsia="en-US"/>
        </w:rPr>
        <w:t xml:space="preserve"> – The Medium Term Financial Plan includes indicative payments for the three remaining years of the MTFP commencing 1/4/2019 based on housing projections and the existing methodology for calculation. NHB is used to finance schemes in the Capital Programme, giving the Council flexibility should NHB be significantly reduced.</w:t>
      </w:r>
    </w:p>
    <w:p w:rsidR="0071484A" w:rsidRPr="00DF2D3F" w:rsidRDefault="0071484A" w:rsidP="00DF2D3F">
      <w:pPr>
        <w:pStyle w:val="Bulletpoints"/>
        <w:rPr>
          <w:rFonts w:eastAsiaTheme="minorHAnsi"/>
          <w:lang w:eastAsia="en-US"/>
        </w:rPr>
      </w:pPr>
      <w:r w:rsidRPr="00DF2D3F">
        <w:rPr>
          <w:rFonts w:eastAsiaTheme="minorHAnsi"/>
          <w:b/>
          <w:lang w:eastAsia="en-US"/>
        </w:rPr>
        <w:t>Inflation</w:t>
      </w:r>
      <w:r w:rsidRPr="00DF2D3F">
        <w:rPr>
          <w:rFonts w:eastAsiaTheme="minorHAnsi"/>
          <w:lang w:eastAsia="en-US"/>
        </w:rPr>
        <w:t xml:space="preserve"> – With the exception of contractual inflation e.g. Leisure contact and ICT maintenance contracts and pay budgets all other budgets are cash limited</w:t>
      </w:r>
    </w:p>
    <w:p w:rsidR="0071484A" w:rsidRPr="00DF2D3F" w:rsidRDefault="0071484A" w:rsidP="00DF2D3F">
      <w:pPr>
        <w:pStyle w:val="Bulletpoints"/>
        <w:rPr>
          <w:rFonts w:eastAsiaTheme="minorHAnsi"/>
          <w:lang w:eastAsia="en-US"/>
        </w:rPr>
      </w:pPr>
      <w:r w:rsidRPr="00DF2D3F">
        <w:rPr>
          <w:rFonts w:eastAsiaTheme="minorHAnsi"/>
          <w:b/>
          <w:lang w:eastAsia="en-US"/>
        </w:rPr>
        <w:t>Contingencies and Provisions</w:t>
      </w:r>
      <w:r w:rsidRPr="00DF2D3F">
        <w:rPr>
          <w:rFonts w:eastAsiaTheme="minorHAnsi"/>
          <w:lang w:eastAsia="en-US"/>
        </w:rPr>
        <w:t xml:space="preserve"> - Contingencies have been allowed for potential shortfalls in efficiency savings, additional income and planned service reductions based on 30% of the value of high risk proposals totalling £60k - £100k per annum over the four year period. There are adequate provisions for bad debts and appeals against business rates valuations. </w:t>
      </w:r>
    </w:p>
    <w:p w:rsidR="0071484A" w:rsidRPr="00DF2D3F" w:rsidRDefault="0071484A" w:rsidP="00DF2D3F">
      <w:pPr>
        <w:pStyle w:val="Bulletpoints"/>
        <w:rPr>
          <w:rFonts w:ascii="T T 6788o 00" w:hAnsi="T T 6788o 00"/>
          <w:kern w:val="1"/>
        </w:rPr>
      </w:pPr>
      <w:proofErr w:type="gramStart"/>
      <w:r w:rsidRPr="00DF2D3F">
        <w:rPr>
          <w:rFonts w:eastAsiaTheme="minorHAnsi"/>
          <w:b/>
          <w:lang w:eastAsia="en-US"/>
        </w:rPr>
        <w:t>Revenue contributions</w:t>
      </w:r>
      <w:r w:rsidRPr="001A34E9">
        <w:rPr>
          <w:b/>
          <w:kern w:val="1"/>
        </w:rPr>
        <w:t xml:space="preserve"> to Capital –</w:t>
      </w:r>
      <w:r w:rsidRPr="001A34E9">
        <w:rPr>
          <w:kern w:val="1"/>
        </w:rPr>
        <w:t xml:space="preserve"> Direct Revenue Funding for the Capital Programme is</w:t>
      </w:r>
      <w:proofErr w:type="gramEnd"/>
      <w:r w:rsidRPr="001A34E9">
        <w:rPr>
          <w:kern w:val="1"/>
        </w:rPr>
        <w:t xml:space="preserve"> £5.4 million over the four years.</w:t>
      </w:r>
    </w:p>
    <w:p w:rsidR="00DF2D3F" w:rsidRPr="001A34E9" w:rsidRDefault="00DF2D3F" w:rsidP="00910AAD"/>
    <w:p w:rsidR="0071484A" w:rsidRPr="003A26F8" w:rsidRDefault="0071484A" w:rsidP="0071484A">
      <w:pPr>
        <w:pStyle w:val="Heading1"/>
        <w:rPr>
          <w:rFonts w:ascii="T T 6788o 00" w:hAnsi="T T 6788o 00"/>
        </w:rPr>
      </w:pPr>
      <w:r w:rsidRPr="003A26F8">
        <w:t>Housing Revenue Account (HRA) Assumptions</w:t>
      </w:r>
    </w:p>
    <w:p w:rsidR="0071484A" w:rsidRPr="003A26F8" w:rsidRDefault="0071484A" w:rsidP="0071484A">
      <w:pPr>
        <w:pStyle w:val="bParagraphtext"/>
        <w:rPr>
          <w:rFonts w:ascii="T T 6788o 00" w:hAnsi="T T 6788o 00"/>
        </w:rPr>
      </w:pPr>
      <w:r w:rsidRPr="003A26F8">
        <w:t xml:space="preserve">The Scrutiny of the HRA budget and Business Plan has followed a similar process to that for the General Fund outlined above. </w:t>
      </w:r>
    </w:p>
    <w:p w:rsidR="0071484A" w:rsidRPr="003A26F8" w:rsidRDefault="0071484A" w:rsidP="0071484A">
      <w:pPr>
        <w:pStyle w:val="bParagraphtext"/>
      </w:pPr>
      <w:r w:rsidRPr="003A26F8">
        <w:t>Prudent assumptions have been built into the HRA Business Plan although there are still a number of areas of uncertainty on which the Council are awaiting clarification from the Government including:</w:t>
      </w:r>
    </w:p>
    <w:p w:rsidR="0071484A" w:rsidRPr="00DF2D3F" w:rsidRDefault="0071484A" w:rsidP="00DF2D3F">
      <w:pPr>
        <w:pStyle w:val="Bulletpoints"/>
        <w:rPr>
          <w:rFonts w:eastAsiaTheme="minorHAnsi"/>
          <w:lang w:eastAsia="en-US"/>
        </w:rPr>
      </w:pPr>
      <w:r w:rsidRPr="000F1FF0">
        <w:rPr>
          <w:b/>
        </w:rPr>
        <w:t xml:space="preserve">High </w:t>
      </w:r>
      <w:r w:rsidRPr="000F1FF0">
        <w:rPr>
          <w:rFonts w:eastAsiaTheme="minorHAnsi"/>
          <w:b/>
          <w:lang w:eastAsia="en-US"/>
        </w:rPr>
        <w:t>Value Council Housing Levy (HVCHL)</w:t>
      </w:r>
      <w:r w:rsidRPr="00DF2D3F">
        <w:rPr>
          <w:rFonts w:eastAsiaTheme="minorHAnsi"/>
          <w:lang w:eastAsia="en-US"/>
        </w:rPr>
        <w:t xml:space="preserve"> –</w:t>
      </w:r>
      <w:r w:rsidR="00DF2D3F">
        <w:rPr>
          <w:rFonts w:eastAsiaTheme="minorHAnsi"/>
          <w:lang w:eastAsia="en-US"/>
        </w:rPr>
        <w:t xml:space="preserve"> </w:t>
      </w:r>
      <w:r w:rsidRPr="00DF2D3F">
        <w:rPr>
          <w:rFonts w:eastAsiaTheme="minorHAnsi"/>
          <w:lang w:eastAsia="en-US"/>
        </w:rPr>
        <w:t>The Government have confirmed that the HVCHL will be deferred for 2018-19. As a result the provision of £7.7 million has been removed from the budget. It remains in the budget from 1/4/2019 at £7.7 million per annum to mitigate the need to dispose of dwellings to pay for the levy. Funds released f</w:t>
      </w:r>
      <w:r w:rsidR="00910AAD">
        <w:rPr>
          <w:rFonts w:eastAsiaTheme="minorHAnsi"/>
          <w:lang w:eastAsia="en-US"/>
        </w:rPr>
        <w:t xml:space="preserve">or next year 2018-19 will </w:t>
      </w:r>
      <w:r w:rsidRPr="00DF2D3F">
        <w:rPr>
          <w:rFonts w:eastAsiaTheme="minorHAnsi"/>
          <w:lang w:eastAsia="en-US"/>
        </w:rPr>
        <w:t>be released to invest in new Council housing.</w:t>
      </w:r>
    </w:p>
    <w:p w:rsidR="0071484A" w:rsidRPr="00DF2D3F" w:rsidRDefault="0071484A" w:rsidP="00DF2D3F">
      <w:pPr>
        <w:pStyle w:val="Bulletpoints"/>
        <w:rPr>
          <w:rFonts w:eastAsia="Calibri"/>
          <w:color w:val="auto"/>
        </w:rPr>
      </w:pPr>
      <w:r w:rsidRPr="00DF2D3F">
        <w:rPr>
          <w:rFonts w:eastAsiaTheme="minorHAnsi"/>
          <w:b/>
          <w:lang w:eastAsia="en-US"/>
        </w:rPr>
        <w:t>Council Housing Rent Setting</w:t>
      </w:r>
      <w:r w:rsidRPr="00DF2D3F">
        <w:rPr>
          <w:rFonts w:eastAsiaTheme="minorHAnsi"/>
          <w:lang w:eastAsia="en-US"/>
        </w:rPr>
        <w:t xml:space="preserve"> - The 1% rent decrease for the four years ending 1/4/2020 introduced by the Welfare Reform </w:t>
      </w:r>
      <w:r w:rsidRPr="003A26F8">
        <w:rPr>
          <w:rFonts w:eastAsia="Calibri"/>
          <w:color w:val="auto"/>
          <w:lang w:eastAsia="en-US"/>
        </w:rPr>
        <w:t xml:space="preserve">and Work Bill continues. In the absence of further legislation the assumption is that the </w:t>
      </w:r>
      <w:r w:rsidRPr="003A26F8">
        <w:rPr>
          <w:rFonts w:eastAsia="Calibri"/>
          <w:color w:val="auto"/>
        </w:rPr>
        <w:t xml:space="preserve">Council will adopt a rent strategy that moves rents to target rent </w:t>
      </w:r>
      <w:r>
        <w:rPr>
          <w:rFonts w:eastAsia="Calibri"/>
          <w:color w:val="auto"/>
        </w:rPr>
        <w:t>thereafter</w:t>
      </w:r>
      <w:r w:rsidRPr="003A26F8">
        <w:rPr>
          <w:rFonts w:eastAsia="Calibri"/>
          <w:color w:val="auto"/>
        </w:rPr>
        <w:t xml:space="preserve">. </w:t>
      </w:r>
    </w:p>
    <w:p w:rsidR="0071484A" w:rsidRPr="003A26F8" w:rsidRDefault="0071484A" w:rsidP="0071484A">
      <w:pPr>
        <w:pStyle w:val="bParagraphtext"/>
      </w:pPr>
      <w:r w:rsidRPr="003A26F8">
        <w:t xml:space="preserve">Other key assumptions in the HRA budget include: </w:t>
      </w:r>
    </w:p>
    <w:p w:rsidR="0071484A" w:rsidRPr="00DF2D3F" w:rsidRDefault="0071484A" w:rsidP="00DF2D3F">
      <w:pPr>
        <w:pStyle w:val="Bulletpoints"/>
        <w:rPr>
          <w:rFonts w:eastAsiaTheme="minorHAnsi"/>
          <w:lang w:eastAsia="en-US"/>
        </w:rPr>
      </w:pPr>
      <w:r w:rsidRPr="001E1F11">
        <w:rPr>
          <w:rFonts w:eastAsia="Calibri"/>
          <w:b/>
        </w:rPr>
        <w:t xml:space="preserve">Debt </w:t>
      </w:r>
      <w:r w:rsidRPr="00DF2D3F">
        <w:rPr>
          <w:rFonts w:eastAsiaTheme="minorHAnsi"/>
          <w:b/>
          <w:lang w:eastAsia="en-US"/>
        </w:rPr>
        <w:t>Management Strategy</w:t>
      </w:r>
      <w:r w:rsidR="00DF2D3F">
        <w:rPr>
          <w:rFonts w:eastAsiaTheme="minorHAnsi"/>
          <w:lang w:eastAsia="en-US"/>
        </w:rPr>
        <w:t xml:space="preserve"> - </w:t>
      </w:r>
      <w:r w:rsidRPr="00DF2D3F">
        <w:rPr>
          <w:rFonts w:eastAsiaTheme="minorHAnsi"/>
          <w:lang w:eastAsia="en-US"/>
        </w:rPr>
        <w:t xml:space="preserve">The first £20m of the £200 million self- financing loan is due for repayment on 31 March 2021. Last year it was </w:t>
      </w:r>
      <w:r w:rsidRPr="00DF2D3F">
        <w:rPr>
          <w:rFonts w:eastAsiaTheme="minorHAnsi"/>
          <w:lang w:eastAsia="en-US"/>
        </w:rPr>
        <w:lastRenderedPageBreak/>
        <w:t xml:space="preserve">agreed that this loan would be refinanced which will generate an initial net saving of £19.3 million. The overall strategy is to repay debt when possible allowing for commitments to be financed whilst maintaining a minimum HRA working </w:t>
      </w:r>
      <w:proofErr w:type="gramStart"/>
      <w:r w:rsidRPr="00DF2D3F">
        <w:rPr>
          <w:rFonts w:eastAsiaTheme="minorHAnsi"/>
          <w:lang w:eastAsia="en-US"/>
        </w:rPr>
        <w:t>balance</w:t>
      </w:r>
      <w:proofErr w:type="gramEnd"/>
      <w:r w:rsidRPr="00DF2D3F">
        <w:rPr>
          <w:rFonts w:eastAsiaTheme="minorHAnsi"/>
          <w:lang w:eastAsia="en-US"/>
        </w:rPr>
        <w:t xml:space="preserve"> of £3.5 million. Additional loan financing of around £10.7 million will be taken out over the period 2018-19 to 2024-25 to fund capital expenditure up the level of the Housing Debt cap of £233 million. </w:t>
      </w:r>
    </w:p>
    <w:p w:rsidR="0071484A" w:rsidRPr="00DF2D3F" w:rsidRDefault="0071484A" w:rsidP="00DF2D3F">
      <w:pPr>
        <w:pStyle w:val="Bulletpoints"/>
        <w:rPr>
          <w:rFonts w:eastAsiaTheme="minorHAnsi"/>
          <w:b/>
          <w:lang w:eastAsia="en-US"/>
        </w:rPr>
      </w:pPr>
      <w:r w:rsidRPr="00DF2D3F">
        <w:rPr>
          <w:rFonts w:eastAsiaTheme="minorHAnsi"/>
          <w:b/>
          <w:lang w:eastAsia="en-US"/>
        </w:rPr>
        <w:t xml:space="preserve">Right </w:t>
      </w:r>
      <w:proofErr w:type="gramStart"/>
      <w:r w:rsidRPr="00DF2D3F">
        <w:rPr>
          <w:rFonts w:eastAsiaTheme="minorHAnsi"/>
          <w:b/>
          <w:lang w:eastAsia="en-US"/>
        </w:rPr>
        <w:t>To</w:t>
      </w:r>
      <w:proofErr w:type="gramEnd"/>
      <w:r w:rsidRPr="00DF2D3F">
        <w:rPr>
          <w:rFonts w:eastAsiaTheme="minorHAnsi"/>
          <w:b/>
          <w:lang w:eastAsia="en-US"/>
        </w:rPr>
        <w:t xml:space="preserve"> Buy and other disposals</w:t>
      </w:r>
      <w:r w:rsidR="00DF2D3F">
        <w:rPr>
          <w:rFonts w:eastAsiaTheme="minorHAnsi"/>
          <w:b/>
          <w:lang w:eastAsia="en-US"/>
        </w:rPr>
        <w:t xml:space="preserve"> - </w:t>
      </w:r>
      <w:r w:rsidRPr="00DF2D3F">
        <w:rPr>
          <w:rFonts w:eastAsiaTheme="minorHAnsi"/>
          <w:lang w:eastAsia="en-US"/>
        </w:rPr>
        <w:t>Disposals of around 40 dwellings per year until 2021/22 are assumed. Additionally, the plan allows for 5 properties to be transferred to the Council’s Housing Company which the Council is able to do without Secretary of States approval under Section 32 of the Housing Act 1985 (as amended) and set out in the DCLG’s General Housing Consents</w:t>
      </w:r>
    </w:p>
    <w:p w:rsidR="0071484A" w:rsidRPr="000F1FF0" w:rsidRDefault="0071484A" w:rsidP="00DF2D3F">
      <w:pPr>
        <w:pStyle w:val="Bulletpoints"/>
        <w:rPr>
          <w:rFonts w:eastAsiaTheme="minorHAnsi"/>
          <w:b/>
          <w:lang w:eastAsia="en-US"/>
        </w:rPr>
      </w:pPr>
      <w:r w:rsidRPr="00DF2D3F">
        <w:rPr>
          <w:rFonts w:eastAsiaTheme="minorHAnsi"/>
          <w:b/>
          <w:lang w:eastAsia="en-US"/>
        </w:rPr>
        <w:t>Inflation and pay assumptions</w:t>
      </w:r>
      <w:r w:rsidR="00DF2D3F">
        <w:rPr>
          <w:rFonts w:eastAsiaTheme="minorHAnsi"/>
          <w:b/>
          <w:lang w:eastAsia="en-US"/>
        </w:rPr>
        <w:t xml:space="preserve"> - </w:t>
      </w:r>
      <w:r w:rsidRPr="00DF2D3F">
        <w:rPr>
          <w:rFonts w:eastAsiaTheme="minorHAnsi"/>
          <w:lang w:eastAsia="en-US"/>
        </w:rPr>
        <w:t>All the assumptions for pay</w:t>
      </w:r>
      <w:r w:rsidRPr="00DF2D3F">
        <w:rPr>
          <w:lang w:eastAsia="en-US"/>
        </w:rPr>
        <w:t xml:space="preserve"> inflation are the same as for the Council’s General Fund.</w:t>
      </w:r>
    </w:p>
    <w:p w:rsidR="000F1FF0" w:rsidRPr="00DF2D3F" w:rsidRDefault="000F1FF0" w:rsidP="00910AAD">
      <w:pPr>
        <w:rPr>
          <w:rFonts w:eastAsiaTheme="minorHAnsi"/>
          <w:lang w:eastAsia="en-US"/>
        </w:rPr>
      </w:pPr>
    </w:p>
    <w:p w:rsidR="0071484A" w:rsidRPr="002F4A07" w:rsidRDefault="0071484A" w:rsidP="00910AAD">
      <w:pPr>
        <w:pStyle w:val="Heading1"/>
      </w:pPr>
      <w:r w:rsidRPr="002F4A07">
        <w:rPr>
          <w:rFonts w:cs="Arial"/>
          <w:lang w:eastAsia="en-US"/>
        </w:rPr>
        <w:t>C</w:t>
      </w:r>
      <w:r w:rsidRPr="002F4A07">
        <w:t xml:space="preserve">apital </w:t>
      </w:r>
    </w:p>
    <w:p w:rsidR="0071484A" w:rsidRPr="00EF6678" w:rsidRDefault="0071484A" w:rsidP="00DF2D3F">
      <w:pPr>
        <w:pStyle w:val="bParagraphtext"/>
      </w:pPr>
      <w:r w:rsidRPr="00EF6678">
        <w:t xml:space="preserve">The Council has set an ambitious Capital Programme for the next four years in excess of £245 million. Loans to the Housing Company to undertake development and acquisition of new dwellings including the social housing at Barton Park </w:t>
      </w:r>
      <w:r>
        <w:t xml:space="preserve">and the development of Lucy Faithful House </w:t>
      </w:r>
      <w:r w:rsidRPr="00EF6678">
        <w:t>are £</w:t>
      </w:r>
      <w:r>
        <w:t>74</w:t>
      </w:r>
      <w:r w:rsidRPr="00EF6678">
        <w:t xml:space="preserve"> million. Other significant schemes including invest to save proposals include:</w:t>
      </w:r>
    </w:p>
    <w:p w:rsidR="0071484A" w:rsidRPr="00DF2D3F" w:rsidRDefault="0071484A" w:rsidP="00DF2D3F">
      <w:pPr>
        <w:pStyle w:val="Bulletpoints"/>
        <w:rPr>
          <w:rFonts w:eastAsiaTheme="minorHAnsi"/>
          <w:lang w:eastAsia="en-US"/>
        </w:rPr>
      </w:pPr>
      <w:r w:rsidRPr="001E1F11">
        <w:rPr>
          <w:b/>
          <w:kern w:val="1"/>
        </w:rPr>
        <w:t xml:space="preserve">Investment </w:t>
      </w:r>
      <w:r w:rsidRPr="00DF2D3F">
        <w:rPr>
          <w:rFonts w:eastAsiaTheme="minorHAnsi"/>
          <w:b/>
          <w:lang w:eastAsia="en-US"/>
        </w:rPr>
        <w:t>properties</w:t>
      </w:r>
      <w:r w:rsidRPr="00DF2D3F">
        <w:rPr>
          <w:rFonts w:eastAsiaTheme="minorHAnsi"/>
          <w:lang w:eastAsia="en-US"/>
        </w:rPr>
        <w:t xml:space="preserve"> – Work to existing Council held investment properties in order to maintain and increase income streams -£10 million</w:t>
      </w:r>
    </w:p>
    <w:p w:rsidR="0071484A" w:rsidRPr="00DF2D3F" w:rsidRDefault="0071484A" w:rsidP="00DF2D3F">
      <w:pPr>
        <w:pStyle w:val="Bulletpoints"/>
        <w:rPr>
          <w:rFonts w:eastAsiaTheme="minorHAnsi"/>
          <w:lang w:eastAsia="en-US"/>
        </w:rPr>
      </w:pPr>
      <w:r w:rsidRPr="00DF2D3F">
        <w:rPr>
          <w:rFonts w:eastAsiaTheme="minorHAnsi"/>
          <w:b/>
          <w:lang w:eastAsia="en-US"/>
        </w:rPr>
        <w:t>Purchase of homes for homeless families</w:t>
      </w:r>
      <w:r w:rsidRPr="00DF2D3F">
        <w:rPr>
          <w:rFonts w:eastAsiaTheme="minorHAnsi"/>
          <w:lang w:eastAsia="en-US"/>
        </w:rPr>
        <w:t xml:space="preserve"> – Purchase of 50 properties to house homeless families, reducing the spend on temporary accommodation as well as achieving a net revenue stream - £10 million</w:t>
      </w:r>
    </w:p>
    <w:p w:rsidR="0071484A" w:rsidRPr="00DF2D3F" w:rsidRDefault="0071484A" w:rsidP="00DF2D3F">
      <w:pPr>
        <w:pStyle w:val="Bulletpoints"/>
        <w:rPr>
          <w:rFonts w:eastAsiaTheme="minorHAnsi"/>
          <w:lang w:eastAsia="en-US"/>
        </w:rPr>
      </w:pPr>
      <w:r w:rsidRPr="00DF2D3F">
        <w:rPr>
          <w:rFonts w:eastAsiaTheme="minorHAnsi"/>
          <w:b/>
          <w:lang w:eastAsia="en-US"/>
        </w:rPr>
        <w:t xml:space="preserve">Loan to </w:t>
      </w:r>
      <w:proofErr w:type="spellStart"/>
      <w:r w:rsidRPr="00DF2D3F">
        <w:rPr>
          <w:rFonts w:eastAsiaTheme="minorHAnsi"/>
          <w:b/>
          <w:lang w:eastAsia="en-US"/>
        </w:rPr>
        <w:t>Oxwed</w:t>
      </w:r>
      <w:proofErr w:type="spellEnd"/>
      <w:r w:rsidRPr="00DF2D3F">
        <w:rPr>
          <w:rFonts w:eastAsiaTheme="minorHAnsi"/>
          <w:lang w:eastAsia="en-US"/>
        </w:rPr>
        <w:t xml:space="preserve"> – A loan to enable the company in which has 50/50 ownership to purchase land for further development £4.1 million</w:t>
      </w:r>
    </w:p>
    <w:p w:rsidR="0071484A" w:rsidRPr="00DF2D3F" w:rsidRDefault="0071484A" w:rsidP="00DF2D3F">
      <w:pPr>
        <w:pStyle w:val="Bulletpoints"/>
        <w:rPr>
          <w:rFonts w:eastAsiaTheme="minorHAnsi"/>
          <w:lang w:eastAsia="en-US"/>
        </w:rPr>
      </w:pPr>
      <w:r w:rsidRPr="00DF2D3F">
        <w:rPr>
          <w:rFonts w:eastAsiaTheme="minorHAnsi"/>
          <w:b/>
          <w:lang w:eastAsia="en-US"/>
        </w:rPr>
        <w:t xml:space="preserve">Extension to </w:t>
      </w:r>
      <w:proofErr w:type="spellStart"/>
      <w:r w:rsidRPr="00DF2D3F">
        <w:rPr>
          <w:rFonts w:eastAsiaTheme="minorHAnsi"/>
          <w:b/>
          <w:lang w:eastAsia="en-US"/>
        </w:rPr>
        <w:t>Seacourt</w:t>
      </w:r>
      <w:proofErr w:type="spellEnd"/>
      <w:r w:rsidRPr="00DF2D3F">
        <w:rPr>
          <w:rFonts w:eastAsiaTheme="minorHAnsi"/>
          <w:b/>
          <w:lang w:eastAsia="en-US"/>
        </w:rPr>
        <w:t xml:space="preserve"> Park and Ride</w:t>
      </w:r>
      <w:r w:rsidRPr="00DF2D3F">
        <w:rPr>
          <w:rFonts w:eastAsiaTheme="minorHAnsi"/>
          <w:lang w:eastAsia="en-US"/>
        </w:rPr>
        <w:t xml:space="preserve"> – Extending park and ride by 668 spaces - £3.4 million</w:t>
      </w:r>
    </w:p>
    <w:p w:rsidR="0071484A" w:rsidRPr="001E1F11" w:rsidRDefault="0071484A" w:rsidP="00DF2D3F">
      <w:pPr>
        <w:pStyle w:val="Bulletpoints"/>
        <w:rPr>
          <w:kern w:val="1"/>
        </w:rPr>
      </w:pPr>
      <w:r w:rsidRPr="00DF2D3F">
        <w:rPr>
          <w:rFonts w:eastAsiaTheme="minorHAnsi"/>
          <w:b/>
          <w:lang w:eastAsia="en-US"/>
        </w:rPr>
        <w:t>New Recycling Transfer Station</w:t>
      </w:r>
      <w:r w:rsidRPr="00DF2D3F">
        <w:rPr>
          <w:rFonts w:eastAsiaTheme="minorHAnsi"/>
          <w:lang w:eastAsia="en-US"/>
        </w:rPr>
        <w:t xml:space="preserve"> – Construction of a new recycling transfer station facility at Redbridge</w:t>
      </w:r>
      <w:r w:rsidRPr="001E1F11">
        <w:rPr>
          <w:kern w:val="1"/>
        </w:rPr>
        <w:t xml:space="preserve"> Park and Ride leading to reduced transportation costs - £2.4 million </w:t>
      </w:r>
    </w:p>
    <w:p w:rsidR="0071484A" w:rsidRPr="00DF2D3F" w:rsidRDefault="0071484A" w:rsidP="00DF2D3F">
      <w:pPr>
        <w:pStyle w:val="Bulletpoints"/>
        <w:rPr>
          <w:rFonts w:eastAsiaTheme="minorHAnsi"/>
          <w:lang w:eastAsia="en-US"/>
        </w:rPr>
      </w:pPr>
      <w:r w:rsidRPr="00DF2D3F">
        <w:rPr>
          <w:rFonts w:eastAsiaTheme="minorHAnsi"/>
          <w:b/>
          <w:lang w:eastAsia="en-US"/>
        </w:rPr>
        <w:t>Vehicle replacements</w:t>
      </w:r>
      <w:r w:rsidRPr="00DF2D3F">
        <w:rPr>
          <w:rFonts w:eastAsiaTheme="minorHAnsi"/>
          <w:lang w:eastAsia="en-US"/>
        </w:rPr>
        <w:t xml:space="preserve"> – Vehicle replacement programme for LATCO that are subsequently leased to Oxford Direct Services £9.8 million </w:t>
      </w:r>
    </w:p>
    <w:p w:rsidR="0071484A" w:rsidRPr="00DF2D3F" w:rsidRDefault="0071484A" w:rsidP="00DF2D3F">
      <w:pPr>
        <w:pStyle w:val="Bulletpoints"/>
        <w:rPr>
          <w:rFonts w:eastAsiaTheme="minorHAnsi"/>
          <w:lang w:eastAsia="en-US"/>
        </w:rPr>
      </w:pPr>
      <w:r w:rsidRPr="00DF2D3F">
        <w:rPr>
          <w:rFonts w:eastAsiaTheme="minorHAnsi"/>
          <w:b/>
          <w:lang w:eastAsia="en-US"/>
        </w:rPr>
        <w:t>Disabled Facility Grant</w:t>
      </w:r>
      <w:r w:rsidRPr="00DF2D3F">
        <w:rPr>
          <w:rFonts w:eastAsiaTheme="minorHAnsi"/>
          <w:lang w:eastAsia="en-US"/>
        </w:rPr>
        <w:t xml:space="preserve"> – Grant funding of disabled adaptations to private sector housing - £4.8 million</w:t>
      </w:r>
    </w:p>
    <w:p w:rsidR="0071484A" w:rsidRPr="00DF2D3F" w:rsidRDefault="0071484A" w:rsidP="00DF2D3F">
      <w:pPr>
        <w:pStyle w:val="Bulletpoints"/>
        <w:rPr>
          <w:rFonts w:eastAsiaTheme="minorHAnsi"/>
          <w:lang w:eastAsia="en-US"/>
        </w:rPr>
      </w:pPr>
      <w:r w:rsidRPr="00DF2D3F">
        <w:rPr>
          <w:rFonts w:eastAsiaTheme="minorHAnsi"/>
          <w:b/>
          <w:lang w:eastAsia="en-US"/>
        </w:rPr>
        <w:t>Housing Development at East Oxford</w:t>
      </w:r>
      <w:r w:rsidRPr="00DF2D3F">
        <w:rPr>
          <w:rFonts w:eastAsiaTheme="minorHAnsi"/>
          <w:lang w:eastAsia="en-US"/>
        </w:rPr>
        <w:t xml:space="preserve"> – Construction of dwellings on land around East Oxford Community Centre - £10.6 million</w:t>
      </w:r>
    </w:p>
    <w:p w:rsidR="0071484A" w:rsidRPr="00910AAD" w:rsidRDefault="0071484A" w:rsidP="00910AAD">
      <w:pPr>
        <w:pStyle w:val="Bulletpoints"/>
        <w:rPr>
          <w:kern w:val="1"/>
        </w:rPr>
      </w:pPr>
      <w:r w:rsidRPr="00DF2D3F">
        <w:rPr>
          <w:rFonts w:eastAsiaTheme="minorHAnsi"/>
          <w:b/>
          <w:lang w:eastAsia="en-US"/>
        </w:rPr>
        <w:t>Estate</w:t>
      </w:r>
      <w:r w:rsidRPr="001E1F11">
        <w:rPr>
          <w:b/>
          <w:kern w:val="1"/>
        </w:rPr>
        <w:t xml:space="preserve"> Improvements and Council House Improvements </w:t>
      </w:r>
      <w:r w:rsidRPr="001E1F11">
        <w:rPr>
          <w:kern w:val="1"/>
        </w:rPr>
        <w:t>- £70million</w:t>
      </w:r>
    </w:p>
    <w:p w:rsidR="0071484A" w:rsidRPr="00910AAD" w:rsidRDefault="0071484A" w:rsidP="00910AAD">
      <w:pPr>
        <w:pStyle w:val="bParagraphtext"/>
        <w:rPr>
          <w:rFonts w:ascii="T T 6788o 00"/>
        </w:rPr>
      </w:pPr>
      <w:r w:rsidRPr="002F4A07">
        <w:t>The</w:t>
      </w:r>
      <w:r w:rsidRPr="00EF6678">
        <w:t xml:space="preserve"> preparation of the </w:t>
      </w:r>
      <w:r>
        <w:t xml:space="preserve">Capital </w:t>
      </w:r>
      <w:r w:rsidRPr="00EF6678">
        <w:t xml:space="preserve">Programme has undergone similar scrutiny to the other areas of the Council’s budget with the Capital Asset Management Group also having an oversight of all new bids. Contingencies are included within individual schemes for variations in spend with any other variations outside these amounts </w:t>
      </w:r>
      <w:r w:rsidRPr="00EF6678">
        <w:lastRenderedPageBreak/>
        <w:t xml:space="preserve">being subject to the normal </w:t>
      </w:r>
      <w:proofErr w:type="spellStart"/>
      <w:r w:rsidRPr="00EF6678">
        <w:t>virement</w:t>
      </w:r>
      <w:proofErr w:type="spellEnd"/>
      <w:r w:rsidRPr="00EF6678">
        <w:t xml:space="preserve"> and supplementary estimate approvals set out in the Council’s Financial Rules. </w:t>
      </w:r>
    </w:p>
    <w:p w:rsidR="0071484A" w:rsidRPr="00EF6678" w:rsidRDefault="0071484A" w:rsidP="0071484A">
      <w:pPr>
        <w:pStyle w:val="bParagraphtext"/>
        <w:rPr>
          <w:rFonts w:ascii="T T 6788o 00"/>
        </w:rPr>
      </w:pPr>
      <w:r w:rsidRPr="00EF6678">
        <w:t xml:space="preserve">Financing of schemes within the Programme is predominantly through revenue, borrowing and capital receipts. General Fund borrowing will increase to over £80 million over the period and require the Council to access external funding. This will add to the existing HRA self- financing debt of £198 million. There are however, sufficient resources to fund the Capital Programme together with the associated revenue implications. </w:t>
      </w:r>
    </w:p>
    <w:p w:rsidR="0071484A" w:rsidRPr="00EF6678" w:rsidRDefault="0071484A" w:rsidP="00910AAD">
      <w:pPr>
        <w:widowControl w:val="0"/>
        <w:autoSpaceDE w:val="0"/>
        <w:autoSpaceDN w:val="0"/>
        <w:adjustRightInd w:val="0"/>
        <w:rPr>
          <w:rFonts w:ascii="T T 6788o 00" w:hAnsi="T T 6788o 00"/>
          <w:kern w:val="1"/>
        </w:rPr>
      </w:pPr>
    </w:p>
    <w:p w:rsidR="0071484A" w:rsidRPr="00910AAD" w:rsidRDefault="0071484A" w:rsidP="00910AAD">
      <w:pPr>
        <w:pStyle w:val="Heading1"/>
      </w:pPr>
      <w:r w:rsidRPr="00910AAD">
        <w:t>Adequacy of Reserves and Balances</w:t>
      </w:r>
    </w:p>
    <w:p w:rsidR="0071484A" w:rsidRPr="000F1FF0" w:rsidRDefault="0071484A" w:rsidP="000F1FF0">
      <w:pPr>
        <w:pStyle w:val="bParagraphtext"/>
      </w:pPr>
      <w:r w:rsidRPr="00277332">
        <w:t>The prudent level of reserves that the Council should maintain is a matter of judgement and cannot be judged merely against the current risks facing the Council as these can and will change over time.</w:t>
      </w:r>
    </w:p>
    <w:p w:rsidR="0071484A" w:rsidRPr="000F1FF0" w:rsidRDefault="0071484A" w:rsidP="000F1FF0">
      <w:pPr>
        <w:pStyle w:val="bParagraphtext"/>
      </w:pPr>
      <w:r w:rsidRPr="00277332">
        <w:t>The consequence of not keeping a prudent level of reserves can be significant.  In the event of a serious problem, or a series of events; the Council could run the risk of a deficit and or be forced to cut expenditure in a damaging or arbitrary way should reserves not be available.</w:t>
      </w:r>
    </w:p>
    <w:p w:rsidR="0071484A" w:rsidRPr="00277332" w:rsidRDefault="0071484A" w:rsidP="0071484A">
      <w:pPr>
        <w:pStyle w:val="bParagraphtext"/>
      </w:pPr>
      <w:r w:rsidRPr="00277332">
        <w:t xml:space="preserve">CIPFA (Chartered Institute of Public and Finance and Accountancy) have stated that there should be no imposed limit on the level or nature of balances required to be held by an individual Council. However, for a district council, where changes to a few areas can have a disproportionate impact, a higher percentage level of reserves to net expenditure is desirable. </w:t>
      </w:r>
    </w:p>
    <w:p w:rsidR="0071484A" w:rsidRPr="000F1FF0" w:rsidRDefault="0071484A" w:rsidP="000F1FF0">
      <w:pPr>
        <w:pStyle w:val="bParagraphtext"/>
      </w:pPr>
      <w:r w:rsidRPr="00277332">
        <w:t xml:space="preserve">The Council has maintained a reasonable level of reserves and working balances as a result of its prudent financial management. Such balances are unallocated and held specifically to cover unexpected adverse variations in the Council’s financial position. Whilst the authority would be exceptionally unlucky to suffer adverse consequences from all potential sources of risk in the course of a financial year the impact could be significant, I.e.  </w:t>
      </w:r>
      <w:proofErr w:type="gramStart"/>
      <w:r w:rsidRPr="00277332">
        <w:t>a</w:t>
      </w:r>
      <w:proofErr w:type="gramEnd"/>
      <w:r w:rsidRPr="00277332">
        <w:t xml:space="preserve"> 10% reduction in car parking income represents around £800k and a similar percentage reduction in commercial rent income £700k. Similarly there are financial risks around increased costs of homelessness, reduced Business Rates income, loss of investment income, reduced external trading income and loss of Housing Benefit Subsidy.</w:t>
      </w:r>
    </w:p>
    <w:p w:rsidR="0071484A" w:rsidRPr="000F1FF0" w:rsidRDefault="0071484A" w:rsidP="000F1FF0">
      <w:pPr>
        <w:pStyle w:val="bParagraphtext"/>
      </w:pPr>
      <w:r w:rsidRPr="00277332">
        <w:t xml:space="preserve">For this authority the Section 151 Officer recommends that the level of working balance for the General Fund should be in the region of £3.5 million to £4million and </w:t>
      </w:r>
      <w:r w:rsidR="000F1FF0">
        <w:t>for</w:t>
      </w:r>
      <w:r w:rsidRPr="00277332">
        <w:t xml:space="preserve"> the HRA around £4 million. Whilst over the planning period there are transfers to and from General Fund balances, the working balance is returned to the recommended level. </w:t>
      </w:r>
    </w:p>
    <w:p w:rsidR="0071484A" w:rsidRPr="00277332" w:rsidRDefault="000F1FF0" w:rsidP="0071484A">
      <w:pPr>
        <w:pStyle w:val="bParagraphtext"/>
      </w:pPr>
      <w:r>
        <w:t xml:space="preserve"> </w:t>
      </w:r>
      <w:r w:rsidR="0071484A" w:rsidRPr="00277332">
        <w:t>In total the Council’s reserves and balances are forecast to be in the region of £62 million at 31</w:t>
      </w:r>
      <w:r w:rsidR="0071484A" w:rsidRPr="00277332">
        <w:rPr>
          <w:position w:val="6"/>
        </w:rPr>
        <w:t>set</w:t>
      </w:r>
      <w:r w:rsidR="0071484A" w:rsidRPr="00277332">
        <w:t xml:space="preserve"> March 2018. This is forecast to reduce to £25 million at the 31</w:t>
      </w:r>
      <w:r w:rsidR="0071484A" w:rsidRPr="00277332">
        <w:rPr>
          <w:vertAlign w:val="superscript"/>
        </w:rPr>
        <w:t>st</w:t>
      </w:r>
      <w:r w:rsidR="0071484A" w:rsidRPr="00277332">
        <w:t xml:space="preserve"> March 2019 as the Council uses its capital reserve to finance the Capital Programme. A full schedule of reserves and balances is attached at Appendix A with an explanation as to their intended use and the anticipated position as at the end of this financial year and next. A summary is shown below:  </w:t>
      </w:r>
    </w:p>
    <w:p w:rsidR="0071484A" w:rsidRDefault="0071484A" w:rsidP="0071484A">
      <w:pPr>
        <w:widowControl w:val="0"/>
        <w:autoSpaceDN w:val="0"/>
        <w:adjustRightInd w:val="0"/>
        <w:spacing w:after="0"/>
        <w:ind w:left="567" w:hanging="567"/>
        <w:rPr>
          <w:rFonts w:cs="Arial"/>
          <w:kern w:val="1"/>
          <w:highlight w:val="yellow"/>
        </w:rPr>
      </w:pPr>
    </w:p>
    <w:p w:rsidR="00910AAD" w:rsidRDefault="00910AAD" w:rsidP="0071484A">
      <w:pPr>
        <w:widowControl w:val="0"/>
        <w:autoSpaceDN w:val="0"/>
        <w:adjustRightInd w:val="0"/>
        <w:spacing w:after="0"/>
        <w:ind w:left="567" w:hanging="567"/>
        <w:rPr>
          <w:rFonts w:cs="Arial"/>
          <w:kern w:val="1"/>
          <w:highlight w:val="yellow"/>
        </w:rPr>
      </w:pPr>
    </w:p>
    <w:p w:rsidR="00822A80" w:rsidRPr="00277332" w:rsidRDefault="00822A80" w:rsidP="0071484A">
      <w:pPr>
        <w:widowControl w:val="0"/>
        <w:autoSpaceDN w:val="0"/>
        <w:adjustRightInd w:val="0"/>
        <w:spacing w:after="0"/>
        <w:ind w:left="567" w:hanging="567"/>
        <w:rPr>
          <w:rFonts w:cs="Arial"/>
          <w:kern w:val="1"/>
          <w:highlight w:val="yellow"/>
        </w:rPr>
      </w:pPr>
    </w:p>
    <w:p w:rsidR="0071484A" w:rsidRPr="00277332" w:rsidRDefault="0071484A" w:rsidP="0071484A">
      <w:pPr>
        <w:pStyle w:val="Default"/>
        <w:ind w:left="567"/>
        <w:rPr>
          <w:rFonts w:ascii="Arial" w:hAnsi="Arial" w:cs="Arial"/>
          <w:b/>
        </w:rPr>
      </w:pPr>
      <w:r w:rsidRPr="00277332">
        <w:rPr>
          <w:rFonts w:ascii="Arial" w:hAnsi="Arial" w:cs="Arial"/>
          <w:b/>
        </w:rPr>
        <w:lastRenderedPageBreak/>
        <w:t>Table 1: Earmarked Reserves and Working Balances</w:t>
      </w:r>
    </w:p>
    <w:p w:rsidR="0071484A" w:rsidRPr="00277332" w:rsidRDefault="0071484A" w:rsidP="0071484A">
      <w:pPr>
        <w:pStyle w:val="Default"/>
        <w:ind w:left="567"/>
        <w:rPr>
          <w:rFonts w:ascii="Arial" w:hAnsi="Arial" w:cs="Arial"/>
          <w:highlight w:val="yellow"/>
        </w:rPr>
      </w:pPr>
    </w:p>
    <w:tbl>
      <w:tblPr>
        <w:tblpPr w:leftFromText="180" w:rightFromText="180" w:vertAnchor="text" w:horzAnchor="margin" w:tblpY="141"/>
        <w:tblW w:w="8755" w:type="dxa"/>
        <w:tblLayout w:type="fixed"/>
        <w:tblLook w:val="0000" w:firstRow="0" w:lastRow="0" w:firstColumn="0" w:lastColumn="0" w:noHBand="0" w:noVBand="0"/>
      </w:tblPr>
      <w:tblGrid>
        <w:gridCol w:w="3936"/>
        <w:gridCol w:w="1559"/>
        <w:gridCol w:w="1701"/>
        <w:gridCol w:w="1559"/>
      </w:tblGrid>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1E1F11" w:rsidRPr="001E1F11" w:rsidRDefault="001E1F11" w:rsidP="001E1F11">
            <w:pPr>
              <w:widowControl w:val="0"/>
              <w:autoSpaceDN w:val="0"/>
              <w:adjustRightInd w:val="0"/>
              <w:spacing w:after="0"/>
              <w:rPr>
                <w:rFonts w:eastAsiaTheme="minorEastAsia" w:cs="Arial"/>
                <w:b/>
                <w:color w:val="auto"/>
                <w:kern w:val="1"/>
              </w:rPr>
            </w:pPr>
            <w:r w:rsidRPr="001E1F11">
              <w:rPr>
                <w:rFonts w:eastAsiaTheme="minorEastAsia" w:cs="Arial"/>
                <w:b/>
                <w:color w:val="auto"/>
                <w:kern w:val="1"/>
              </w:rPr>
              <w:t>Reserve Description</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1E1F11" w:rsidRPr="001E1F11" w:rsidRDefault="001E1F11" w:rsidP="001E1F11">
            <w:pPr>
              <w:widowControl w:val="0"/>
              <w:autoSpaceDE w:val="0"/>
              <w:autoSpaceDN w:val="0"/>
              <w:adjustRightInd w:val="0"/>
              <w:spacing w:after="0"/>
              <w:jc w:val="center"/>
              <w:rPr>
                <w:rFonts w:eastAsiaTheme="minorEastAsia" w:cs="Arial"/>
                <w:b/>
                <w:kern w:val="1"/>
              </w:rPr>
            </w:pPr>
            <w:r w:rsidRPr="001E1F11">
              <w:rPr>
                <w:rFonts w:eastAsiaTheme="minorEastAsia" w:cs="Arial"/>
                <w:b/>
                <w:kern w:val="1"/>
              </w:rPr>
              <w:t>Balance</w:t>
            </w:r>
          </w:p>
          <w:p w:rsidR="001E1F11" w:rsidRPr="001E1F11" w:rsidRDefault="001E1F11" w:rsidP="001E1F11">
            <w:pPr>
              <w:widowControl w:val="0"/>
              <w:autoSpaceDN w:val="0"/>
              <w:adjustRightInd w:val="0"/>
              <w:spacing w:after="0"/>
              <w:jc w:val="center"/>
              <w:rPr>
                <w:rFonts w:eastAsiaTheme="minorEastAsia" w:cs="Arial"/>
                <w:b/>
                <w:color w:val="auto"/>
                <w:kern w:val="1"/>
              </w:rPr>
            </w:pPr>
            <w:r w:rsidRPr="001E1F11">
              <w:rPr>
                <w:rFonts w:eastAsiaTheme="minorEastAsia" w:cs="Arial"/>
                <w:b/>
                <w:color w:val="auto"/>
                <w:kern w:val="1"/>
              </w:rPr>
              <w:t>1/4/2017</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1E1F11" w:rsidRPr="001E1F11" w:rsidRDefault="001E1F11" w:rsidP="001E1F11">
            <w:pPr>
              <w:widowControl w:val="0"/>
              <w:autoSpaceDN w:val="0"/>
              <w:adjustRightInd w:val="0"/>
              <w:spacing w:after="200" w:line="276" w:lineRule="auto"/>
              <w:jc w:val="center"/>
              <w:rPr>
                <w:rFonts w:eastAsiaTheme="minorEastAsia" w:cs="Arial"/>
                <w:b/>
                <w:color w:val="auto"/>
                <w:kern w:val="1"/>
              </w:rPr>
            </w:pPr>
            <w:r w:rsidRPr="001E1F11">
              <w:rPr>
                <w:rFonts w:eastAsiaTheme="minorEastAsia" w:cs="Arial"/>
                <w:b/>
                <w:color w:val="auto"/>
                <w:kern w:val="1"/>
              </w:rPr>
              <w:t>Projected Balance 31-03-18</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1E1F11" w:rsidRPr="001E1F11" w:rsidRDefault="001E1F11" w:rsidP="001E1F11">
            <w:pPr>
              <w:widowControl w:val="0"/>
              <w:autoSpaceDN w:val="0"/>
              <w:adjustRightInd w:val="0"/>
              <w:spacing w:after="200" w:line="276" w:lineRule="auto"/>
              <w:jc w:val="center"/>
              <w:rPr>
                <w:rFonts w:eastAsiaTheme="minorEastAsia" w:cs="Arial"/>
                <w:b/>
                <w:color w:val="auto"/>
                <w:kern w:val="1"/>
              </w:rPr>
            </w:pPr>
            <w:r w:rsidRPr="001E1F11">
              <w:rPr>
                <w:rFonts w:eastAsiaTheme="minorEastAsia" w:cs="Arial"/>
                <w:b/>
                <w:color w:val="auto"/>
                <w:kern w:val="1"/>
              </w:rPr>
              <w:t>Projected Balance 31-03-19</w:t>
            </w:r>
          </w:p>
        </w:tc>
      </w:tr>
      <w:tr w:rsidR="001E1F11" w:rsidRPr="001E1F11" w:rsidTr="005F5307">
        <w:trPr>
          <w:trHeight w:val="687"/>
        </w:trPr>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1E1F11" w:rsidRPr="001E1F11" w:rsidRDefault="001E1F11" w:rsidP="001E1F11">
            <w:pPr>
              <w:widowControl w:val="0"/>
              <w:autoSpaceDN w:val="0"/>
              <w:adjustRightInd w:val="0"/>
              <w:spacing w:after="0"/>
              <w:rPr>
                <w:rFonts w:eastAsiaTheme="minorEastAsia" w:cs="Arial"/>
                <w:b/>
                <w:color w:val="auto"/>
                <w:kern w:val="1"/>
              </w:rPr>
            </w:pP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1E1F11" w:rsidRPr="001E1F11" w:rsidRDefault="001E1F11" w:rsidP="001E1F11">
            <w:pPr>
              <w:widowControl w:val="0"/>
              <w:autoSpaceDN w:val="0"/>
              <w:adjustRightInd w:val="0"/>
              <w:spacing w:after="0"/>
              <w:jc w:val="center"/>
              <w:rPr>
                <w:rFonts w:eastAsiaTheme="minorEastAsia" w:cs="Arial"/>
                <w:b/>
                <w:color w:val="auto"/>
                <w:kern w:val="1"/>
              </w:rPr>
            </w:pPr>
            <w:r w:rsidRPr="001E1F11">
              <w:rPr>
                <w:rFonts w:eastAsiaTheme="minorEastAsia" w:cs="Arial"/>
                <w:b/>
                <w:color w:val="auto"/>
                <w:kern w:val="1"/>
              </w:rPr>
              <w:t>£000’s</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1E1F11" w:rsidRPr="001E1F11" w:rsidRDefault="001E1F11" w:rsidP="001E1F11">
            <w:pPr>
              <w:widowControl w:val="0"/>
              <w:autoSpaceDN w:val="0"/>
              <w:adjustRightInd w:val="0"/>
              <w:spacing w:after="200" w:line="276" w:lineRule="auto"/>
              <w:jc w:val="center"/>
              <w:rPr>
                <w:rFonts w:eastAsiaTheme="minorEastAsia" w:cs="Arial"/>
                <w:b/>
                <w:color w:val="auto"/>
                <w:kern w:val="1"/>
              </w:rPr>
            </w:pPr>
            <w:r w:rsidRPr="001E1F11">
              <w:rPr>
                <w:rFonts w:eastAsiaTheme="minorEastAsia" w:cs="Arial"/>
                <w:b/>
                <w:color w:val="auto"/>
                <w:kern w:val="1"/>
              </w:rPr>
              <w:t>£000’s</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1E1F11" w:rsidRPr="001E1F11" w:rsidRDefault="001E1F11" w:rsidP="001E1F11">
            <w:pPr>
              <w:widowControl w:val="0"/>
              <w:autoSpaceDN w:val="0"/>
              <w:adjustRightInd w:val="0"/>
              <w:spacing w:after="200" w:line="276" w:lineRule="auto"/>
              <w:jc w:val="center"/>
              <w:rPr>
                <w:rFonts w:eastAsiaTheme="minorEastAsia" w:cs="Arial"/>
                <w:b/>
                <w:color w:val="auto"/>
                <w:kern w:val="1"/>
              </w:rPr>
            </w:pPr>
            <w:r w:rsidRPr="001E1F11">
              <w:rPr>
                <w:rFonts w:eastAsiaTheme="minorEastAsia" w:cs="Arial"/>
                <w:b/>
                <w:color w:val="auto"/>
                <w:kern w:val="1"/>
              </w:rPr>
              <w:t>£000’s</w:t>
            </w: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r w:rsidRPr="001E1F11">
              <w:rPr>
                <w:rFonts w:eastAsiaTheme="minorEastAsia" w:cs="Arial"/>
                <w:b/>
                <w:color w:val="auto"/>
                <w:kern w:val="1"/>
              </w:rPr>
              <w:t xml:space="preserve">General Fund </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p>
        </w:tc>
        <w:tc>
          <w:tcPr>
            <w:tcW w:w="1701"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rPr>
                <w:rFonts w:eastAsiaTheme="minorEastAsia" w:cs="Arial"/>
                <w:color w:val="auto"/>
                <w:kern w:val="1"/>
              </w:rPr>
            </w:pP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rPr>
                <w:rFonts w:eastAsiaTheme="minorEastAsia" w:cs="Arial"/>
                <w:color w:val="auto"/>
                <w:kern w:val="1"/>
              </w:rPr>
            </w:pP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r w:rsidRPr="001E1F11">
              <w:rPr>
                <w:rFonts w:eastAsiaTheme="minorEastAsia" w:cs="Arial"/>
                <w:color w:val="auto"/>
                <w:kern w:val="1"/>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1E1F11" w:rsidRPr="001E1F11" w:rsidRDefault="001E1F11" w:rsidP="001E1F11">
            <w:pPr>
              <w:spacing w:after="0"/>
              <w:jc w:val="right"/>
              <w:rPr>
                <w:rFonts w:cs="Arial"/>
                <w:bCs/>
              </w:rPr>
            </w:pPr>
            <w:r w:rsidRPr="001E1F11">
              <w:rPr>
                <w:rFonts w:cs="Arial"/>
                <w:bCs/>
              </w:rPr>
              <w:t>35,028</w:t>
            </w:r>
          </w:p>
        </w:tc>
        <w:tc>
          <w:tcPr>
            <w:tcW w:w="1701" w:type="dxa"/>
            <w:tcBorders>
              <w:top w:val="single" w:sz="2" w:space="0" w:color="000000"/>
              <w:left w:val="single" w:sz="2" w:space="0" w:color="000000"/>
              <w:bottom w:val="single" w:sz="2" w:space="0" w:color="000000"/>
              <w:right w:val="single" w:sz="2" w:space="0" w:color="000000"/>
            </w:tcBorders>
            <w:vAlign w:val="center"/>
          </w:tcPr>
          <w:p w:rsidR="001E1F11" w:rsidRPr="001E1F11" w:rsidRDefault="001E1F11" w:rsidP="001E1F11">
            <w:pPr>
              <w:spacing w:after="0"/>
              <w:jc w:val="right"/>
              <w:rPr>
                <w:rFonts w:cs="Arial"/>
                <w:bCs/>
              </w:rPr>
            </w:pPr>
            <w:r w:rsidRPr="001E1F11">
              <w:rPr>
                <w:rFonts w:cs="Arial"/>
                <w:bCs/>
              </w:rPr>
              <w:t>21,790</w:t>
            </w:r>
          </w:p>
        </w:tc>
        <w:tc>
          <w:tcPr>
            <w:tcW w:w="1559" w:type="dxa"/>
            <w:tcBorders>
              <w:top w:val="single" w:sz="2" w:space="0" w:color="000000"/>
              <w:left w:val="single" w:sz="2" w:space="0" w:color="000000"/>
              <w:bottom w:val="single" w:sz="2" w:space="0" w:color="000000"/>
              <w:right w:val="single" w:sz="2" w:space="0" w:color="000000"/>
            </w:tcBorders>
            <w:vAlign w:val="center"/>
          </w:tcPr>
          <w:p w:rsidR="001E1F11" w:rsidRPr="001E1F11" w:rsidRDefault="001E1F11" w:rsidP="001E1F11">
            <w:pPr>
              <w:spacing w:after="0"/>
              <w:jc w:val="right"/>
              <w:rPr>
                <w:rFonts w:cs="Arial"/>
                <w:bCs/>
              </w:rPr>
            </w:pPr>
            <w:r w:rsidRPr="001E1F11">
              <w:rPr>
                <w:rFonts w:cs="Arial"/>
                <w:bCs/>
              </w:rPr>
              <w:t>15,823</w:t>
            </w: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r w:rsidRPr="001E1F11">
              <w:rPr>
                <w:rFonts w:eastAsiaTheme="minorEastAsia" w:cs="Arial"/>
                <w:color w:val="auto"/>
                <w:kern w:val="1"/>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jc w:val="right"/>
              <w:rPr>
                <w:rFonts w:eastAsiaTheme="minorEastAsia" w:cs="Arial"/>
                <w:color w:val="auto"/>
                <w:kern w:val="1"/>
              </w:rPr>
            </w:pPr>
            <w:r w:rsidRPr="001E1F11">
              <w:rPr>
                <w:rFonts w:eastAsiaTheme="minorEastAsia" w:cs="Arial"/>
                <w:color w:val="auto"/>
                <w:kern w:val="1"/>
              </w:rPr>
              <w:t>3,622</w:t>
            </w:r>
          </w:p>
        </w:tc>
        <w:tc>
          <w:tcPr>
            <w:tcW w:w="1701"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color w:val="auto"/>
                <w:kern w:val="1"/>
              </w:rPr>
            </w:pPr>
            <w:r w:rsidRPr="001E1F11">
              <w:rPr>
                <w:rFonts w:eastAsiaTheme="minorEastAsia" w:cs="Arial"/>
                <w:color w:val="auto"/>
                <w:kern w:val="1"/>
              </w:rPr>
              <w:t>4,000</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kern w:val="1"/>
              </w:rPr>
            </w:pPr>
            <w:r w:rsidRPr="001E1F11">
              <w:rPr>
                <w:rFonts w:eastAsiaTheme="minorEastAsia" w:cs="Arial"/>
                <w:kern w:val="1"/>
              </w:rPr>
              <w:t>3,900</w:t>
            </w: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r w:rsidRPr="001E1F11">
              <w:rPr>
                <w:rFonts w:eastAsiaTheme="minorEastAsia" w:cs="Arial"/>
                <w:b/>
                <w:color w:val="auto"/>
                <w:kern w:val="1"/>
              </w:rPr>
              <w:t>Sub Total</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jc w:val="right"/>
              <w:rPr>
                <w:rFonts w:eastAsiaTheme="minorEastAsia" w:cs="Arial"/>
                <w:b/>
                <w:color w:val="auto"/>
                <w:kern w:val="1"/>
              </w:rPr>
            </w:pPr>
            <w:r w:rsidRPr="001E1F11">
              <w:rPr>
                <w:rFonts w:eastAsiaTheme="minorEastAsia" w:cs="Arial"/>
                <w:b/>
                <w:color w:val="auto"/>
                <w:kern w:val="1"/>
              </w:rPr>
              <w:t>38,650</w:t>
            </w:r>
          </w:p>
        </w:tc>
        <w:tc>
          <w:tcPr>
            <w:tcW w:w="1701"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b/>
                <w:color w:val="auto"/>
                <w:kern w:val="1"/>
              </w:rPr>
            </w:pPr>
            <w:r w:rsidRPr="001E1F11">
              <w:rPr>
                <w:rFonts w:eastAsiaTheme="minorEastAsia" w:cs="Arial"/>
                <w:b/>
                <w:color w:val="auto"/>
                <w:kern w:val="1"/>
              </w:rPr>
              <w:t>25,790</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b/>
                <w:color w:val="auto"/>
                <w:kern w:val="1"/>
              </w:rPr>
            </w:pPr>
            <w:r w:rsidRPr="001E1F11">
              <w:rPr>
                <w:rFonts w:eastAsiaTheme="minorEastAsia" w:cs="Arial"/>
                <w:b/>
                <w:color w:val="auto"/>
                <w:kern w:val="1"/>
              </w:rPr>
              <w:t>19,723</w:t>
            </w: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r w:rsidRPr="001E1F11">
              <w:rPr>
                <w:rFonts w:eastAsiaTheme="minorEastAsia" w:cs="Arial"/>
                <w:b/>
                <w:color w:val="auto"/>
                <w:kern w:val="1"/>
              </w:rPr>
              <w:t>Housing Revenue Account</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jc w:val="right"/>
              <w:rPr>
                <w:rFonts w:eastAsiaTheme="minorEastAsia" w:cs="Arial"/>
                <w:color w:val="auto"/>
                <w:kern w:val="1"/>
              </w:rPr>
            </w:pPr>
          </w:p>
        </w:tc>
        <w:tc>
          <w:tcPr>
            <w:tcW w:w="1701"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color w:val="auto"/>
                <w:kern w:val="1"/>
              </w:rPr>
            </w:pP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color w:val="auto"/>
                <w:kern w:val="1"/>
              </w:rPr>
            </w:pP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r w:rsidRPr="001E1F11">
              <w:rPr>
                <w:rFonts w:eastAsiaTheme="minorEastAsia" w:cs="Arial"/>
                <w:color w:val="auto"/>
                <w:kern w:val="1"/>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1E1F11" w:rsidRPr="001E1F11" w:rsidRDefault="001E1F11" w:rsidP="001E1F11">
            <w:pPr>
              <w:spacing w:after="0"/>
              <w:jc w:val="right"/>
              <w:rPr>
                <w:rFonts w:cs="Arial"/>
                <w:bCs/>
              </w:rPr>
            </w:pPr>
            <w:r w:rsidRPr="001E1F11">
              <w:rPr>
                <w:rFonts w:cs="Arial"/>
                <w:bCs/>
              </w:rPr>
              <w:t>17,776</w:t>
            </w:r>
          </w:p>
        </w:tc>
        <w:tc>
          <w:tcPr>
            <w:tcW w:w="1701" w:type="dxa"/>
            <w:tcBorders>
              <w:top w:val="single" w:sz="2" w:space="0" w:color="000000"/>
              <w:left w:val="single" w:sz="2" w:space="0" w:color="000000"/>
              <w:bottom w:val="single" w:sz="2" w:space="0" w:color="000000"/>
              <w:right w:val="single" w:sz="2" w:space="0" w:color="000000"/>
            </w:tcBorders>
            <w:vAlign w:val="center"/>
          </w:tcPr>
          <w:p w:rsidR="001E1F11" w:rsidRPr="001E1F11" w:rsidRDefault="001E1F11" w:rsidP="001E1F11">
            <w:pPr>
              <w:spacing w:after="0"/>
              <w:jc w:val="right"/>
              <w:rPr>
                <w:rFonts w:cs="Arial"/>
                <w:bCs/>
              </w:rPr>
            </w:pPr>
            <w:r w:rsidRPr="001E1F11">
              <w:rPr>
                <w:rFonts w:cs="Arial"/>
                <w:bCs/>
              </w:rPr>
              <w:t>16,580</w:t>
            </w:r>
          </w:p>
        </w:tc>
        <w:tc>
          <w:tcPr>
            <w:tcW w:w="1559" w:type="dxa"/>
            <w:tcBorders>
              <w:top w:val="single" w:sz="2" w:space="0" w:color="000000"/>
              <w:left w:val="single" w:sz="2" w:space="0" w:color="000000"/>
              <w:bottom w:val="single" w:sz="2" w:space="0" w:color="000000"/>
              <w:right w:val="single" w:sz="2" w:space="0" w:color="000000"/>
            </w:tcBorders>
            <w:vAlign w:val="center"/>
          </w:tcPr>
          <w:p w:rsidR="001E1F11" w:rsidRPr="001E1F11" w:rsidRDefault="001E1F11" w:rsidP="001E1F11">
            <w:pPr>
              <w:spacing w:after="0"/>
              <w:jc w:val="right"/>
              <w:rPr>
                <w:rFonts w:cs="Arial"/>
                <w:bCs/>
              </w:rPr>
            </w:pPr>
            <w:r w:rsidRPr="001E1F11">
              <w:rPr>
                <w:rFonts w:cs="Arial"/>
                <w:bCs/>
              </w:rPr>
              <w:t>,220</w:t>
            </w: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r w:rsidRPr="001E1F11">
              <w:rPr>
                <w:rFonts w:eastAsiaTheme="minorEastAsia" w:cs="Arial"/>
                <w:color w:val="auto"/>
                <w:kern w:val="1"/>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jc w:val="right"/>
              <w:rPr>
                <w:rFonts w:eastAsiaTheme="minorEastAsia" w:cs="Arial"/>
                <w:color w:val="auto"/>
                <w:kern w:val="1"/>
              </w:rPr>
            </w:pPr>
            <w:r w:rsidRPr="001E1F11">
              <w:rPr>
                <w:rFonts w:eastAsiaTheme="minorEastAsia" w:cs="Arial"/>
                <w:color w:val="auto"/>
                <w:kern w:val="1"/>
              </w:rPr>
              <w:t>4,000</w:t>
            </w:r>
          </w:p>
        </w:tc>
        <w:tc>
          <w:tcPr>
            <w:tcW w:w="1701"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color w:val="auto"/>
                <w:kern w:val="1"/>
              </w:rPr>
            </w:pPr>
            <w:r w:rsidRPr="001E1F11">
              <w:rPr>
                <w:rFonts w:eastAsiaTheme="minorEastAsia" w:cs="Arial"/>
                <w:color w:val="auto"/>
                <w:kern w:val="1"/>
              </w:rPr>
              <w:t>4,900</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color w:val="auto"/>
                <w:kern w:val="1"/>
              </w:rPr>
            </w:pPr>
            <w:r w:rsidRPr="001E1F11">
              <w:rPr>
                <w:rFonts w:eastAsiaTheme="minorEastAsia" w:cs="Arial"/>
                <w:color w:val="auto"/>
                <w:kern w:val="1"/>
              </w:rPr>
              <w:t>3,500</w:t>
            </w: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r w:rsidRPr="001E1F11">
              <w:rPr>
                <w:rFonts w:eastAsiaTheme="minorEastAsia" w:cs="Arial"/>
                <w:b/>
                <w:color w:val="auto"/>
                <w:kern w:val="1"/>
              </w:rPr>
              <w:t xml:space="preserve">Sub Total </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jc w:val="right"/>
              <w:rPr>
                <w:rFonts w:eastAsiaTheme="minorEastAsia" w:cs="Arial"/>
                <w:b/>
                <w:color w:val="auto"/>
                <w:kern w:val="1"/>
              </w:rPr>
            </w:pPr>
            <w:r w:rsidRPr="001E1F11">
              <w:rPr>
                <w:rFonts w:eastAsiaTheme="minorEastAsia" w:cs="Arial"/>
                <w:b/>
                <w:color w:val="auto"/>
                <w:kern w:val="1"/>
              </w:rPr>
              <w:t>21,776</w:t>
            </w:r>
          </w:p>
        </w:tc>
        <w:tc>
          <w:tcPr>
            <w:tcW w:w="1701"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b/>
                <w:color w:val="auto"/>
                <w:kern w:val="1"/>
              </w:rPr>
            </w:pPr>
            <w:r w:rsidRPr="001E1F11">
              <w:rPr>
                <w:rFonts w:eastAsiaTheme="minorEastAsia" w:cs="Arial"/>
                <w:b/>
                <w:color w:val="auto"/>
                <w:kern w:val="1"/>
              </w:rPr>
              <w:t>21,480</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b/>
                <w:color w:val="auto"/>
                <w:kern w:val="1"/>
              </w:rPr>
            </w:pPr>
            <w:r w:rsidRPr="001E1F11">
              <w:rPr>
                <w:rFonts w:eastAsiaTheme="minorEastAsia" w:cs="Arial"/>
                <w:b/>
                <w:color w:val="auto"/>
                <w:kern w:val="1"/>
              </w:rPr>
              <w:t>3,720</w:t>
            </w: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b/>
                <w:color w:val="auto"/>
                <w:kern w:val="1"/>
              </w:rPr>
            </w:pPr>
            <w:r w:rsidRPr="001E1F11">
              <w:rPr>
                <w:rFonts w:eastAsiaTheme="minorEastAsia" w:cs="Arial"/>
                <w:b/>
                <w:color w:val="auto"/>
                <w:kern w:val="1"/>
              </w:rPr>
              <w:t>Insurance Funds</w:t>
            </w:r>
          </w:p>
        </w:tc>
        <w:tc>
          <w:tcPr>
            <w:tcW w:w="1559" w:type="dxa"/>
            <w:tcBorders>
              <w:top w:val="single" w:sz="2" w:space="0" w:color="000000"/>
              <w:left w:val="single" w:sz="2" w:space="0" w:color="000000"/>
              <w:bottom w:val="single" w:sz="2" w:space="0" w:color="000000"/>
              <w:right w:val="single" w:sz="2" w:space="0" w:color="000000"/>
            </w:tcBorders>
            <w:vAlign w:val="center"/>
          </w:tcPr>
          <w:p w:rsidR="001E1F11" w:rsidRPr="001E1F11" w:rsidRDefault="001E1F11" w:rsidP="001E1F11">
            <w:pPr>
              <w:spacing w:after="0"/>
              <w:jc w:val="right"/>
              <w:rPr>
                <w:rFonts w:cs="Arial"/>
              </w:rPr>
            </w:pPr>
            <w:r w:rsidRPr="001E1F11">
              <w:rPr>
                <w:rFonts w:cs="Arial"/>
              </w:rPr>
              <w:t>1,700</w:t>
            </w:r>
          </w:p>
        </w:tc>
        <w:tc>
          <w:tcPr>
            <w:tcW w:w="1701" w:type="dxa"/>
            <w:tcBorders>
              <w:top w:val="single" w:sz="2" w:space="0" w:color="000000"/>
              <w:left w:val="single" w:sz="2" w:space="0" w:color="000000"/>
              <w:bottom w:val="single" w:sz="2" w:space="0" w:color="000000"/>
              <w:right w:val="single" w:sz="2" w:space="0" w:color="000000"/>
            </w:tcBorders>
            <w:vAlign w:val="center"/>
          </w:tcPr>
          <w:p w:rsidR="001E1F11" w:rsidRPr="001E1F11" w:rsidRDefault="001E1F11" w:rsidP="001E1F11">
            <w:pPr>
              <w:jc w:val="right"/>
              <w:rPr>
                <w:rFonts w:cs="Arial"/>
              </w:rPr>
            </w:pPr>
            <w:r w:rsidRPr="001E1F11">
              <w:rPr>
                <w:rFonts w:cs="Arial"/>
              </w:rPr>
              <w:t xml:space="preserve">  1,700</w:t>
            </w:r>
          </w:p>
        </w:tc>
        <w:tc>
          <w:tcPr>
            <w:tcW w:w="1559" w:type="dxa"/>
            <w:tcBorders>
              <w:top w:val="single" w:sz="2" w:space="0" w:color="000000"/>
              <w:left w:val="single" w:sz="2" w:space="0" w:color="000000"/>
              <w:bottom w:val="single" w:sz="2" w:space="0" w:color="000000"/>
              <w:right w:val="single" w:sz="2" w:space="0" w:color="000000"/>
            </w:tcBorders>
            <w:vAlign w:val="center"/>
          </w:tcPr>
          <w:p w:rsidR="001E1F11" w:rsidRPr="001E1F11" w:rsidRDefault="001E1F11" w:rsidP="001E1F11">
            <w:pPr>
              <w:jc w:val="right"/>
              <w:rPr>
                <w:rFonts w:cs="Arial"/>
              </w:rPr>
            </w:pPr>
            <w:r w:rsidRPr="001E1F11">
              <w:rPr>
                <w:rFonts w:cs="Arial"/>
              </w:rPr>
              <w:t>1,700</w:t>
            </w:r>
          </w:p>
        </w:tc>
      </w:tr>
      <w:tr w:rsidR="001E1F11" w:rsidRPr="001E1F11" w:rsidTr="005F5307">
        <w:tc>
          <w:tcPr>
            <w:tcW w:w="3936"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rPr>
                <w:rFonts w:eastAsiaTheme="minorEastAsia" w:cs="Arial"/>
                <w:color w:val="auto"/>
                <w:kern w:val="1"/>
              </w:rPr>
            </w:pPr>
            <w:r w:rsidRPr="001E1F11">
              <w:rPr>
                <w:rFonts w:eastAsiaTheme="minorEastAsia" w:cs="Arial"/>
                <w:b/>
                <w:color w:val="auto"/>
                <w:kern w:val="1"/>
              </w:rPr>
              <w:t xml:space="preserve">Total </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0"/>
              <w:jc w:val="right"/>
              <w:rPr>
                <w:rFonts w:eastAsiaTheme="minorEastAsia" w:cs="Arial"/>
                <w:b/>
                <w:color w:val="auto"/>
                <w:kern w:val="1"/>
              </w:rPr>
            </w:pPr>
            <w:r w:rsidRPr="001E1F11">
              <w:rPr>
                <w:rFonts w:eastAsiaTheme="minorEastAsia" w:cs="Arial"/>
                <w:b/>
                <w:color w:val="auto"/>
                <w:kern w:val="1"/>
              </w:rPr>
              <w:t>62,126</w:t>
            </w:r>
          </w:p>
        </w:tc>
        <w:tc>
          <w:tcPr>
            <w:tcW w:w="1701"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b/>
                <w:color w:val="auto"/>
                <w:kern w:val="1"/>
              </w:rPr>
            </w:pPr>
            <w:r w:rsidRPr="001E1F11">
              <w:rPr>
                <w:rFonts w:eastAsiaTheme="minorEastAsia" w:cs="Arial"/>
                <w:b/>
                <w:color w:val="auto"/>
                <w:kern w:val="1"/>
              </w:rPr>
              <w:t>48,970</w:t>
            </w:r>
          </w:p>
        </w:tc>
        <w:tc>
          <w:tcPr>
            <w:tcW w:w="1559" w:type="dxa"/>
            <w:tcBorders>
              <w:top w:val="single" w:sz="2" w:space="0" w:color="000000"/>
              <w:left w:val="single" w:sz="2" w:space="0" w:color="000000"/>
              <w:bottom w:val="single" w:sz="2" w:space="0" w:color="000000"/>
              <w:right w:val="single" w:sz="2" w:space="0" w:color="000000"/>
            </w:tcBorders>
          </w:tcPr>
          <w:p w:rsidR="001E1F11" w:rsidRPr="001E1F11" w:rsidRDefault="001E1F11" w:rsidP="001E1F11">
            <w:pPr>
              <w:widowControl w:val="0"/>
              <w:autoSpaceDN w:val="0"/>
              <w:adjustRightInd w:val="0"/>
              <w:spacing w:after="200" w:line="276" w:lineRule="auto"/>
              <w:jc w:val="right"/>
              <w:rPr>
                <w:rFonts w:eastAsiaTheme="minorEastAsia" w:cs="Arial"/>
                <w:b/>
                <w:kern w:val="1"/>
              </w:rPr>
            </w:pPr>
            <w:r w:rsidRPr="001E1F11">
              <w:rPr>
                <w:rFonts w:eastAsiaTheme="minorEastAsia" w:cs="Arial"/>
                <w:b/>
                <w:kern w:val="1"/>
              </w:rPr>
              <w:t>25,143</w:t>
            </w:r>
          </w:p>
        </w:tc>
      </w:tr>
    </w:tbl>
    <w:p w:rsidR="0071484A" w:rsidRDefault="0071484A"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Default="001E1F11" w:rsidP="0071484A">
      <w:pPr>
        <w:pStyle w:val="Default"/>
        <w:ind w:left="1440"/>
        <w:rPr>
          <w:rFonts w:ascii="Arial" w:hAnsi="Arial" w:cs="Arial"/>
        </w:rPr>
      </w:pPr>
    </w:p>
    <w:p w:rsidR="001E1F11" w:rsidRPr="00277332" w:rsidRDefault="001E1F11" w:rsidP="0071484A">
      <w:pPr>
        <w:pStyle w:val="Default"/>
        <w:ind w:left="1440"/>
        <w:rPr>
          <w:rFonts w:ascii="Arial" w:hAnsi="Arial" w:cs="Arial"/>
        </w:rPr>
      </w:pPr>
    </w:p>
    <w:p w:rsidR="0071484A" w:rsidRPr="00277332" w:rsidRDefault="0071484A" w:rsidP="0071484A">
      <w:pPr>
        <w:pStyle w:val="bParagraphtext"/>
      </w:pPr>
      <w:r w:rsidRPr="00277332">
        <w:t>Approximately 48 %( £30 million) of the Earmarked Reserves relate to the funding of the Council’s £245 million Capital Programme.</w:t>
      </w:r>
    </w:p>
    <w:p w:rsidR="0071484A" w:rsidRPr="00277332" w:rsidRDefault="0071484A" w:rsidP="00910AAD">
      <w:pPr>
        <w:pStyle w:val="Default"/>
        <w:spacing w:after="120"/>
        <w:ind w:left="567"/>
        <w:rPr>
          <w:rFonts w:ascii="Arial" w:hAnsi="Arial" w:cs="Arial"/>
        </w:rPr>
      </w:pPr>
      <w:r w:rsidRPr="00277332">
        <w:rPr>
          <w:rFonts w:ascii="Arial" w:hAnsi="Arial" w:cs="Arial"/>
        </w:rPr>
        <w:t xml:space="preserve">Earmarked reserves include: </w:t>
      </w:r>
    </w:p>
    <w:p w:rsidR="0071484A" w:rsidRPr="00DF2D3F" w:rsidRDefault="0071484A" w:rsidP="00910AAD">
      <w:pPr>
        <w:pStyle w:val="ListParagraph"/>
        <w:numPr>
          <w:ilvl w:val="0"/>
          <w:numId w:val="7"/>
        </w:numPr>
        <w:tabs>
          <w:tab w:val="clear" w:pos="426"/>
          <w:tab w:val="left" w:pos="851"/>
        </w:tabs>
        <w:ind w:left="850" w:hanging="425"/>
        <w:rPr>
          <w:rFonts w:eastAsiaTheme="minorHAnsi" w:cs="Arial"/>
          <w:lang w:eastAsia="en-US"/>
        </w:rPr>
      </w:pPr>
      <w:r w:rsidRPr="001E1F11">
        <w:rPr>
          <w:rFonts w:cs="Arial"/>
          <w:kern w:val="1"/>
        </w:rPr>
        <w:t xml:space="preserve">ring </w:t>
      </w:r>
      <w:r w:rsidRPr="00DF2D3F">
        <w:rPr>
          <w:rFonts w:eastAsiaTheme="minorHAnsi" w:cs="Arial"/>
          <w:lang w:eastAsia="en-US"/>
        </w:rPr>
        <w:t xml:space="preserve">fenced accounts funded by third parties which must be repaid if not used for the purpose specified, </w:t>
      </w:r>
      <w:proofErr w:type="spellStart"/>
      <w:r w:rsidRPr="00DF2D3F">
        <w:rPr>
          <w:rFonts w:eastAsiaTheme="minorHAnsi" w:cs="Arial"/>
          <w:lang w:eastAsia="en-US"/>
        </w:rPr>
        <w:t>e.g.Salix</w:t>
      </w:r>
      <w:proofErr w:type="spellEnd"/>
      <w:r w:rsidRPr="00DF2D3F">
        <w:rPr>
          <w:rFonts w:eastAsiaTheme="minorHAnsi" w:cs="Arial"/>
          <w:lang w:eastAsia="en-US"/>
        </w:rPr>
        <w:t xml:space="preserve"> Fund and much of the Grants Reserve </w:t>
      </w:r>
    </w:p>
    <w:p w:rsidR="0071484A" w:rsidRPr="00DF2D3F" w:rsidRDefault="0071484A" w:rsidP="00910AAD">
      <w:pPr>
        <w:pStyle w:val="ListParagraph"/>
        <w:numPr>
          <w:ilvl w:val="0"/>
          <w:numId w:val="7"/>
        </w:numPr>
        <w:tabs>
          <w:tab w:val="clear" w:pos="426"/>
          <w:tab w:val="left" w:pos="851"/>
        </w:tabs>
        <w:ind w:left="850" w:hanging="425"/>
        <w:rPr>
          <w:rFonts w:eastAsiaTheme="minorHAnsi" w:cs="Arial"/>
          <w:lang w:eastAsia="en-US"/>
        </w:rPr>
      </w:pPr>
      <w:r w:rsidRPr="00DF2D3F">
        <w:rPr>
          <w:rFonts w:eastAsiaTheme="minorHAnsi" w:cs="Arial"/>
          <w:lang w:eastAsia="en-US"/>
        </w:rPr>
        <w:t>reserves which have a statutory limitation on their use; such as the Taxi Licensing Reserve and the HMO Licensing Reserve</w:t>
      </w:r>
    </w:p>
    <w:p w:rsidR="0071484A" w:rsidRPr="00DF2D3F" w:rsidRDefault="0071484A" w:rsidP="00910AAD">
      <w:pPr>
        <w:pStyle w:val="ListParagraph"/>
        <w:numPr>
          <w:ilvl w:val="0"/>
          <w:numId w:val="7"/>
        </w:numPr>
        <w:tabs>
          <w:tab w:val="clear" w:pos="426"/>
          <w:tab w:val="left" w:pos="851"/>
        </w:tabs>
        <w:ind w:left="850" w:hanging="425"/>
        <w:rPr>
          <w:rFonts w:eastAsiaTheme="minorHAnsi" w:cs="Arial"/>
          <w:lang w:eastAsia="en-US"/>
        </w:rPr>
      </w:pPr>
      <w:r w:rsidRPr="00DF2D3F">
        <w:rPr>
          <w:rFonts w:eastAsiaTheme="minorHAnsi" w:cs="Arial"/>
          <w:lang w:eastAsia="en-US"/>
        </w:rPr>
        <w:t>accounts which it is considered prudent to set aside for a specific purpose such as the Insurance Fund</w:t>
      </w:r>
    </w:p>
    <w:p w:rsidR="0071484A" w:rsidRPr="001E1F11" w:rsidRDefault="0071484A" w:rsidP="00910AAD">
      <w:pPr>
        <w:pStyle w:val="ListParagraph"/>
        <w:numPr>
          <w:ilvl w:val="0"/>
          <w:numId w:val="7"/>
        </w:numPr>
        <w:tabs>
          <w:tab w:val="clear" w:pos="426"/>
          <w:tab w:val="left" w:pos="851"/>
        </w:tabs>
        <w:ind w:left="850" w:hanging="425"/>
        <w:rPr>
          <w:rFonts w:cs="Arial"/>
          <w:kern w:val="1"/>
        </w:rPr>
      </w:pPr>
      <w:r w:rsidRPr="00DF2D3F">
        <w:rPr>
          <w:rFonts w:eastAsiaTheme="minorHAnsi" w:cs="Arial"/>
          <w:lang w:eastAsia="en-US"/>
        </w:rPr>
        <w:t>committed</w:t>
      </w:r>
      <w:r w:rsidRPr="001E1F11">
        <w:rPr>
          <w:rFonts w:cs="Arial"/>
          <w:kern w:val="1"/>
        </w:rPr>
        <w:t xml:space="preserve"> but unspent budgeted amounts carried forward at the end of the financial year to fund/complete specific projects</w:t>
      </w:r>
    </w:p>
    <w:p w:rsidR="0071484A" w:rsidRPr="00277332" w:rsidRDefault="0071484A" w:rsidP="0071484A">
      <w:pPr>
        <w:widowControl w:val="0"/>
        <w:autoSpaceDN w:val="0"/>
        <w:adjustRightInd w:val="0"/>
        <w:spacing w:after="0"/>
        <w:rPr>
          <w:rFonts w:cs="Arial"/>
          <w:kern w:val="1"/>
          <w:highlight w:val="yellow"/>
        </w:rPr>
      </w:pPr>
    </w:p>
    <w:p w:rsidR="0071484A" w:rsidRPr="00277332" w:rsidRDefault="0071484A" w:rsidP="0071484A">
      <w:pPr>
        <w:pStyle w:val="bParagraphtext"/>
      </w:pPr>
      <w:r w:rsidRPr="00277332">
        <w:rPr>
          <w:b/>
        </w:rPr>
        <w:t>General Fund Working Balance -</w:t>
      </w:r>
      <w:r w:rsidRPr="00277332">
        <w:t xml:space="preserve"> This is forecast to be around £4 million at 31</w:t>
      </w:r>
      <w:proofErr w:type="spellStart"/>
      <w:r w:rsidRPr="00277332">
        <w:rPr>
          <w:position w:val="6"/>
        </w:rPr>
        <w:t>st</w:t>
      </w:r>
      <w:proofErr w:type="spellEnd"/>
      <w:r w:rsidRPr="00277332">
        <w:t xml:space="preserve"> March 2018 representing 2% of gross General Fund expenditure and 15% of net expenditure. </w:t>
      </w:r>
    </w:p>
    <w:p w:rsidR="0071484A" w:rsidRPr="00277332" w:rsidRDefault="0071484A" w:rsidP="0071484A">
      <w:pPr>
        <w:widowControl w:val="0"/>
        <w:autoSpaceDN w:val="0"/>
        <w:adjustRightInd w:val="0"/>
        <w:spacing w:after="0"/>
        <w:rPr>
          <w:rFonts w:cs="Arial"/>
          <w:kern w:val="1"/>
          <w:highlight w:val="yellow"/>
        </w:rPr>
      </w:pPr>
    </w:p>
    <w:p w:rsidR="0071484A" w:rsidRPr="00277332" w:rsidRDefault="0071484A" w:rsidP="0071484A">
      <w:pPr>
        <w:pStyle w:val="bParagraphtext"/>
      </w:pPr>
      <w:r w:rsidRPr="00277332">
        <w:rPr>
          <w:b/>
        </w:rPr>
        <w:t xml:space="preserve">Housing Revenue Account Working Balance– </w:t>
      </w:r>
      <w:r w:rsidRPr="00277332">
        <w:t>The amount as at 31</w:t>
      </w:r>
      <w:proofErr w:type="spellStart"/>
      <w:r w:rsidRPr="00277332">
        <w:rPr>
          <w:position w:val="6"/>
        </w:rPr>
        <w:t>st</w:t>
      </w:r>
      <w:proofErr w:type="spellEnd"/>
      <w:r w:rsidRPr="00277332">
        <w:t xml:space="preserve"> March 2018 is estimated at £4 million representing around </w:t>
      </w:r>
      <w:r>
        <w:t>2.58% of gross rental expenditure.</w:t>
      </w:r>
    </w:p>
    <w:p w:rsidR="0071484A" w:rsidRPr="00277332" w:rsidRDefault="0071484A" w:rsidP="0071484A">
      <w:pPr>
        <w:widowControl w:val="0"/>
        <w:autoSpaceDN w:val="0"/>
        <w:adjustRightInd w:val="0"/>
        <w:spacing w:after="0"/>
        <w:ind w:left="567" w:hanging="567"/>
        <w:rPr>
          <w:rFonts w:cs="Arial"/>
          <w:kern w:val="1"/>
        </w:rPr>
      </w:pPr>
    </w:p>
    <w:p w:rsidR="0071484A" w:rsidRPr="00822A80" w:rsidRDefault="0071484A" w:rsidP="00822A80">
      <w:pPr>
        <w:pStyle w:val="ListParagraph"/>
        <w:rPr>
          <w:b/>
        </w:rPr>
      </w:pPr>
      <w:r w:rsidRPr="00822A80">
        <w:rPr>
          <w:b/>
        </w:rPr>
        <w:t>Treasury Management</w:t>
      </w:r>
    </w:p>
    <w:p w:rsidR="0071484A" w:rsidRPr="00277332" w:rsidRDefault="0071484A" w:rsidP="000F1FF0">
      <w:pPr>
        <w:ind w:left="567"/>
      </w:pPr>
      <w:r w:rsidRPr="00277332">
        <w:t xml:space="preserve">Reserves and Balances are an essential part of cash balances on which the Treasury function is based. Whilst waiting to be used they will attract interest ranging from 0.6% to 6% depending how they are invested. Longer term investments such as property funds and lending to companies including the Council’s wholly owned companies will attract interest in the region of 4.5% to 6%, while investments held for short term liquidity purposes will be at the lower end. The budget for investment interest next year is £1.5 million rising to £3 million by 2020/21. Reserves and balances can also be ‘internally borrowed’ essentially deferring the need to borrow externally to meet capital commitments. Such borrowing is currently cheaper than accessing external borrowing sources such as PWLB. </w:t>
      </w:r>
    </w:p>
    <w:p w:rsidR="0071484A" w:rsidRPr="00277332" w:rsidRDefault="0071484A" w:rsidP="000F1FF0"/>
    <w:p w:rsidR="0071484A" w:rsidRPr="00277332" w:rsidRDefault="0071484A" w:rsidP="0071484A">
      <w:pPr>
        <w:pStyle w:val="Heading1"/>
      </w:pPr>
      <w:r w:rsidRPr="00277332">
        <w:t>Progress on the 2017/18 Budget</w:t>
      </w:r>
    </w:p>
    <w:p w:rsidR="0071484A" w:rsidRPr="00910AAD" w:rsidRDefault="0071484A" w:rsidP="00910AAD">
      <w:pPr>
        <w:pStyle w:val="bParagraphtext"/>
      </w:pPr>
      <w:r w:rsidRPr="00277332">
        <w:t xml:space="preserve">Budget monitoring for the half year ending 31st December 2017 indicates a favourable variance of £0.516 million (2.4% of net expenditure) due largely to over achievement of income in Direct Services. The Housing Revenue Account is expecting to be in line with original budget. </w:t>
      </w:r>
    </w:p>
    <w:p w:rsidR="00910AAD" w:rsidRDefault="0071484A" w:rsidP="00910AAD">
      <w:pPr>
        <w:pStyle w:val="bParagraphtext"/>
      </w:pPr>
      <w:r w:rsidRPr="00277332">
        <w:t>At year end an assessment will be made of the Council’s overall financial position and recommendations made to City Executive Board on the most appropriate use of any underspends.</w:t>
      </w:r>
    </w:p>
    <w:p w:rsidR="00822A80" w:rsidRDefault="00822A80" w:rsidP="00822A80"/>
    <w:p w:rsidR="00822A80" w:rsidRDefault="00822A80" w:rsidP="00822A80">
      <w:pPr>
        <w:pStyle w:val="Heading1"/>
      </w:pPr>
      <w:r>
        <w:t>Conclusion</w:t>
      </w:r>
    </w:p>
    <w:p w:rsidR="0071484A" w:rsidRPr="00910AAD" w:rsidRDefault="0071484A" w:rsidP="00910AAD">
      <w:pPr>
        <w:pStyle w:val="bParagraphtext"/>
      </w:pPr>
      <w:r w:rsidRPr="00277332">
        <w:t xml:space="preserve">I have reviewed the budget preparation process for 2018-19 to 2021/22 and the level of reserves and balances. The Council still faces significant financial uncertainty; with a </w:t>
      </w:r>
      <w:r w:rsidRPr="0071484A">
        <w:t>number</w:t>
      </w:r>
      <w:r w:rsidRPr="00277332">
        <w:t xml:space="preserve"> of areas of clarification required from the Government especially around Business Rates Retention and pressures around income streams especially car parking.</w:t>
      </w:r>
      <w:r>
        <w:t xml:space="preserve"> Brexit may also bring additional financial pressures depending on the reaction of the financial markets and also of local businesses. In addition there is an expectation that the new LATCO, Oxford Direct Services which goes operational on 1</w:t>
      </w:r>
      <w:r w:rsidRPr="00A1349E">
        <w:rPr>
          <w:vertAlign w:val="superscript"/>
        </w:rPr>
        <w:t>st</w:t>
      </w:r>
      <w:r>
        <w:t xml:space="preserve"> April 2018 will deliver additional savings and income of £500k per annum and this require careful monitoring by the Council to ensure delivery is on target.  </w:t>
      </w:r>
    </w:p>
    <w:p w:rsidR="0071484A" w:rsidRPr="00910AAD" w:rsidRDefault="0071484A" w:rsidP="00910AAD">
      <w:pPr>
        <w:pStyle w:val="bParagraphtext"/>
      </w:pPr>
      <w:r w:rsidRPr="00277332">
        <w:t xml:space="preserve">On Housing, the rules around future rent rises after the initial 4 year 1% reduction have been confirmed for the following 5 years from 1/4/2020 as CPI +1% . This is a welcome addition to the HRA Business Plan which will enable the Council to continue with its programme of housing improvements. However, the threat of the HVCH levy being implemented beyond 2018/19 remains. Holding provisions of £7.7 million per annum to mitigate such a levy is inefficient and yet necessary in the absence of further information on which to plan. </w:t>
      </w:r>
    </w:p>
    <w:p w:rsidR="0071484A" w:rsidRPr="00910AAD" w:rsidRDefault="0071484A" w:rsidP="0071484A">
      <w:pPr>
        <w:pStyle w:val="bParagraphtext"/>
      </w:pPr>
      <w:r w:rsidRPr="00277332">
        <w:t xml:space="preserve">Despite the issues highlighted above the Council has undertaken a rigorous process in its budget setting for the Medium Term and more specifically I would conclude that: </w:t>
      </w:r>
    </w:p>
    <w:p w:rsidR="0071484A" w:rsidRPr="00DF2D3F" w:rsidRDefault="0071484A" w:rsidP="00910AAD">
      <w:pPr>
        <w:pStyle w:val="Bulletpoints"/>
        <w:rPr>
          <w:rFonts w:eastAsiaTheme="minorHAnsi"/>
          <w:lang w:eastAsia="en-US"/>
        </w:rPr>
      </w:pPr>
      <w:r w:rsidRPr="00277332">
        <w:t xml:space="preserve">The </w:t>
      </w:r>
      <w:r w:rsidRPr="00DF2D3F">
        <w:rPr>
          <w:rFonts w:eastAsiaTheme="minorHAnsi"/>
          <w:lang w:eastAsia="en-US"/>
        </w:rPr>
        <w:t xml:space="preserve">process for the formulation of General Fund, HRA and Capital budgets, together with the level of challenge, provides a reasonable assurance of their robustness. </w:t>
      </w:r>
    </w:p>
    <w:p w:rsidR="0071484A" w:rsidRPr="00DF2D3F" w:rsidRDefault="0071484A" w:rsidP="00910AAD">
      <w:pPr>
        <w:pStyle w:val="Bulletpoints"/>
        <w:rPr>
          <w:rFonts w:eastAsiaTheme="minorHAnsi"/>
          <w:lang w:eastAsia="en-US"/>
        </w:rPr>
      </w:pPr>
      <w:r w:rsidRPr="00DF2D3F">
        <w:rPr>
          <w:rFonts w:eastAsiaTheme="minorHAnsi"/>
          <w:lang w:eastAsia="en-US"/>
        </w:rPr>
        <w:t>The approach which has been taken to those funding streams which are currently uncertain is prudent and puts the Council in a positive position to manage underlying pressures going forward.</w:t>
      </w:r>
    </w:p>
    <w:p w:rsidR="0071484A" w:rsidRPr="00DF2D3F" w:rsidRDefault="0071484A" w:rsidP="00910AAD">
      <w:pPr>
        <w:pStyle w:val="Bulletpoints"/>
        <w:rPr>
          <w:rFonts w:eastAsiaTheme="minorHAnsi"/>
          <w:lang w:eastAsia="en-US"/>
        </w:rPr>
      </w:pPr>
      <w:r w:rsidRPr="00DF2D3F">
        <w:rPr>
          <w:rFonts w:eastAsiaTheme="minorHAnsi"/>
          <w:lang w:eastAsia="en-US"/>
        </w:rPr>
        <w:t xml:space="preserve">The level of contingencies provided for unachieved efficiency savings and income projections etc. is prudent. </w:t>
      </w:r>
    </w:p>
    <w:p w:rsidR="0071484A" w:rsidRPr="00277332" w:rsidRDefault="0071484A" w:rsidP="00910AAD">
      <w:pPr>
        <w:pStyle w:val="Bulletpoints"/>
      </w:pPr>
      <w:r w:rsidRPr="00DF2D3F">
        <w:rPr>
          <w:rFonts w:eastAsiaTheme="minorHAnsi"/>
          <w:lang w:eastAsia="en-US"/>
        </w:rPr>
        <w:t>The level of</w:t>
      </w:r>
      <w:r w:rsidRPr="00277332">
        <w:t xml:space="preserve"> the Council’s total reserves is sufficient to provide: </w:t>
      </w:r>
    </w:p>
    <w:p w:rsidR="0071484A" w:rsidRPr="00277332" w:rsidRDefault="0071484A" w:rsidP="00910AAD">
      <w:pPr>
        <w:pStyle w:val="Bulletpoints"/>
        <w:numPr>
          <w:ilvl w:val="1"/>
          <w:numId w:val="9"/>
        </w:numPr>
      </w:pPr>
      <w:r w:rsidRPr="00277332">
        <w:t xml:space="preserve">A working balance to cushion the impact of unexpected events or uneven cash flows and </w:t>
      </w:r>
    </w:p>
    <w:p w:rsidR="0071484A" w:rsidRPr="00277332" w:rsidRDefault="0071484A" w:rsidP="00910AAD">
      <w:pPr>
        <w:pStyle w:val="Bulletpoints"/>
        <w:numPr>
          <w:ilvl w:val="1"/>
          <w:numId w:val="9"/>
        </w:numPr>
      </w:pPr>
      <w:r w:rsidRPr="00277332">
        <w:t xml:space="preserve">The setting aside of funds to meet known or anticipated liabilities (earmarked reserves). </w:t>
      </w:r>
    </w:p>
    <w:p w:rsidR="0071484A" w:rsidRPr="00910AAD" w:rsidRDefault="0071484A" w:rsidP="00910AAD">
      <w:pPr>
        <w:pStyle w:val="Heading1"/>
      </w:pPr>
      <w:r w:rsidRPr="00910AAD">
        <w:t>Financial Implications</w:t>
      </w:r>
    </w:p>
    <w:p w:rsidR="0071484A" w:rsidRPr="00910AAD" w:rsidRDefault="0071484A" w:rsidP="0071484A">
      <w:pPr>
        <w:pStyle w:val="bParagraphtext"/>
      </w:pPr>
      <w:r w:rsidRPr="00277332">
        <w:t>Pending their use, Earmarked Reserves and Balances provide a useful source of revenue investment income for the authority estimated at £1.5 million for 2018/19 as well as being available for ‘internal borrowing’, thereby mitigating the costs of external borrowing in the short term.</w:t>
      </w:r>
    </w:p>
    <w:p w:rsidR="0071484A" w:rsidRPr="00277332" w:rsidRDefault="0071484A" w:rsidP="0071484A">
      <w:pPr>
        <w:pStyle w:val="Heading1"/>
      </w:pPr>
      <w:r w:rsidRPr="00277332">
        <w:t>Legal Implications</w:t>
      </w:r>
    </w:p>
    <w:p w:rsidR="0071484A" w:rsidRPr="00910AAD" w:rsidRDefault="0071484A" w:rsidP="0071484A">
      <w:pPr>
        <w:pStyle w:val="bParagraphtext"/>
      </w:pPr>
      <w:r w:rsidRPr="00277332">
        <w:t>These are covered within the report</w:t>
      </w:r>
    </w:p>
    <w:p w:rsidR="0071484A" w:rsidRPr="00277332" w:rsidRDefault="00910AAD" w:rsidP="0071484A">
      <w:pPr>
        <w:pStyle w:val="Heading1"/>
      </w:pPr>
      <w:r>
        <w:t xml:space="preserve">Risk </w:t>
      </w:r>
      <w:r w:rsidR="0071484A" w:rsidRPr="00277332">
        <w:t>Implications</w:t>
      </w:r>
    </w:p>
    <w:p w:rsidR="0071484A" w:rsidRPr="00277332" w:rsidRDefault="0071484A" w:rsidP="0071484A">
      <w:pPr>
        <w:pStyle w:val="bParagraphtext"/>
      </w:pPr>
      <w:r w:rsidRPr="00277332">
        <w:t xml:space="preserve">An analysis of ‘Key Risks’ is shown in the main Budget report elsewhere on the agenda and should be considered before making any decisions upon the use of reserves.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1484A" w:rsidP="00A46E98">
            <w:r w:rsidRPr="0071484A">
              <w:t>Nigel Kennedy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1484A" w:rsidP="00A46E98">
            <w:r w:rsidRPr="0071484A">
              <w:t>Head of 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1484A" w:rsidP="00A46E98">
            <w:r w:rsidRPr="0071484A">
              <w:t>Finance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71484A" w:rsidP="0071484A">
            <w:r>
              <w:t xml:space="preserve">01865 </w:t>
            </w:r>
            <w:r w:rsidRPr="00600F0B">
              <w:rPr>
                <w:lang w:val="de-DE"/>
              </w:rPr>
              <w:t>252708</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E5A63" w:rsidP="00A46E98">
            <w:pPr>
              <w:rPr>
                <w:rStyle w:val="Hyperlink"/>
                <w:color w:val="000000"/>
              </w:rPr>
            </w:pPr>
            <w:hyperlink r:id="rId9" w:history="1">
              <w:r w:rsidR="0071484A" w:rsidRPr="00C94D96">
                <w:rPr>
                  <w:rStyle w:val="Hyperlink"/>
                </w:rPr>
                <w:t>nkennedy@oxford.gov.uk</w:t>
              </w:r>
            </w:hyperlink>
            <w:r w:rsidR="0071484A">
              <w:rPr>
                <w:rStyle w:val="Hyperlink"/>
                <w:color w:val="000000"/>
              </w:rPr>
              <w:t xml:space="preserve"> </w:t>
            </w:r>
          </w:p>
        </w:tc>
      </w:tr>
    </w:tbl>
    <w:p w:rsidR="004456DD" w:rsidRDefault="004456DD" w:rsidP="0093067A"/>
    <w:p w:rsidR="005C2022" w:rsidRDefault="005C2022" w:rsidP="0093067A"/>
    <w:p w:rsidR="005C2022" w:rsidRDefault="005C2022">
      <w:pPr>
        <w:spacing w:after="0"/>
      </w:pPr>
      <w:r>
        <w:br w:type="page"/>
      </w:r>
    </w:p>
    <w:p w:rsidR="005C2022" w:rsidRDefault="005C2022" w:rsidP="005C2022">
      <w:pPr>
        <w:pStyle w:val="Default"/>
        <w:jc w:val="right"/>
        <w:rPr>
          <w:rFonts w:ascii="Arial" w:hAnsi="Arial"/>
          <w:b/>
          <w:color w:val="000000"/>
        </w:rPr>
      </w:pPr>
    </w:p>
    <w:p w:rsidR="005C2022" w:rsidRDefault="005C2022" w:rsidP="005C2022">
      <w:pPr>
        <w:pStyle w:val="Default"/>
        <w:jc w:val="right"/>
      </w:pPr>
      <w:r>
        <w:rPr>
          <w:rFonts w:ascii="Arial" w:hAnsi="Arial"/>
          <w:b/>
          <w:color w:val="000000"/>
        </w:rPr>
        <w:t>APPENDIX A</w:t>
      </w:r>
    </w:p>
    <w:p w:rsidR="005C2022" w:rsidRDefault="005C2022" w:rsidP="005C2022">
      <w:pPr>
        <w:pStyle w:val="Default"/>
        <w:jc w:val="right"/>
      </w:pPr>
    </w:p>
    <w:p w:rsidR="005C2022" w:rsidRDefault="005C2022" w:rsidP="005C2022">
      <w:pPr>
        <w:pStyle w:val="Default"/>
        <w:jc w:val="center"/>
        <w:rPr>
          <w:rFonts w:ascii="Arial" w:hAnsi="Arial"/>
          <w:b/>
          <w:color w:val="000000"/>
        </w:rPr>
      </w:pPr>
      <w:r>
        <w:rPr>
          <w:rFonts w:ascii="Arial" w:hAnsi="Arial"/>
          <w:b/>
          <w:color w:val="000000"/>
        </w:rPr>
        <w:t>STATEMENT OF RESERVES AND BALANCES</w:t>
      </w:r>
    </w:p>
    <w:p w:rsidR="005C2022" w:rsidRDefault="005C2022" w:rsidP="005C2022">
      <w:pPr>
        <w:pStyle w:val="Default"/>
        <w:jc w:val="center"/>
      </w:pPr>
    </w:p>
    <w:tbl>
      <w:tblPr>
        <w:tblW w:w="9508" w:type="dxa"/>
        <w:tblInd w:w="98" w:type="dxa"/>
        <w:tblLook w:val="04A0" w:firstRow="1" w:lastRow="0" w:firstColumn="1" w:lastColumn="0" w:noHBand="0" w:noVBand="1"/>
      </w:tblPr>
      <w:tblGrid>
        <w:gridCol w:w="958"/>
        <w:gridCol w:w="4266"/>
        <w:gridCol w:w="1418"/>
        <w:gridCol w:w="1399"/>
        <w:gridCol w:w="1467"/>
      </w:tblGrid>
      <w:tr w:rsidR="005C2022" w:rsidRPr="00AD18A9" w:rsidTr="005F5307">
        <w:trPr>
          <w:trHeight w:val="585"/>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5C2022" w:rsidRPr="00AD18A9" w:rsidRDefault="005C2022" w:rsidP="005F5307">
            <w:pPr>
              <w:spacing w:after="0"/>
              <w:jc w:val="center"/>
              <w:rPr>
                <w:rFonts w:cs="Arial"/>
                <w:b/>
                <w:bCs/>
              </w:rPr>
            </w:pPr>
            <w:r w:rsidRPr="00AD18A9">
              <w:rPr>
                <w:rFonts w:cs="Arial"/>
                <w:b/>
                <w:bCs/>
              </w:rPr>
              <w:t>Ref</w:t>
            </w:r>
          </w:p>
        </w:tc>
        <w:tc>
          <w:tcPr>
            <w:tcW w:w="428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5C2022" w:rsidRPr="00AD18A9" w:rsidRDefault="005C2022" w:rsidP="005F5307">
            <w:pPr>
              <w:spacing w:after="0"/>
              <w:jc w:val="center"/>
              <w:rPr>
                <w:rFonts w:cs="Arial"/>
                <w:b/>
                <w:bCs/>
              </w:rPr>
            </w:pPr>
            <w:r w:rsidRPr="00AD18A9">
              <w:rPr>
                <w:rFonts w:cs="Arial"/>
                <w:b/>
                <w:bCs/>
              </w:rPr>
              <w:t>Reserve Description</w:t>
            </w:r>
          </w:p>
        </w:tc>
        <w:tc>
          <w:tcPr>
            <w:tcW w:w="1400" w:type="dxa"/>
            <w:tcBorders>
              <w:top w:val="single" w:sz="8" w:space="0" w:color="000000"/>
              <w:left w:val="nil"/>
              <w:bottom w:val="nil"/>
              <w:right w:val="single" w:sz="8" w:space="0" w:color="000000"/>
            </w:tcBorders>
            <w:shd w:val="clear" w:color="000000" w:fill="E0E0E0"/>
            <w:vAlign w:val="center"/>
            <w:hideMark/>
          </w:tcPr>
          <w:p w:rsidR="005C2022" w:rsidRPr="00AD18A9" w:rsidRDefault="005C2022" w:rsidP="005F5307">
            <w:pPr>
              <w:spacing w:after="0"/>
              <w:jc w:val="center"/>
              <w:rPr>
                <w:rFonts w:cs="Arial"/>
                <w:b/>
                <w:bCs/>
              </w:rPr>
            </w:pPr>
            <w:r w:rsidRPr="00AD18A9">
              <w:rPr>
                <w:rFonts w:cs="Arial"/>
                <w:b/>
                <w:bCs/>
              </w:rPr>
              <w:t>Balance</w:t>
            </w:r>
          </w:p>
        </w:tc>
        <w:tc>
          <w:tcPr>
            <w:tcW w:w="140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5C2022" w:rsidRPr="00AD18A9" w:rsidRDefault="005C2022" w:rsidP="005F5307">
            <w:pPr>
              <w:spacing w:after="0"/>
              <w:jc w:val="center"/>
              <w:rPr>
                <w:rFonts w:cs="Arial"/>
                <w:b/>
                <w:bCs/>
              </w:rPr>
            </w:pPr>
            <w:r w:rsidRPr="00AD18A9">
              <w:rPr>
                <w:rFonts w:cs="Arial"/>
                <w:b/>
                <w:bCs/>
              </w:rPr>
              <w:t>Projected Balance 31-03-1</w:t>
            </w:r>
            <w:r>
              <w:rPr>
                <w:rFonts w:cs="Arial"/>
                <w:b/>
                <w:bCs/>
              </w:rPr>
              <w:t>8</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5C2022" w:rsidRPr="00AD18A9" w:rsidRDefault="005C2022" w:rsidP="005F5307">
            <w:pPr>
              <w:spacing w:after="0"/>
              <w:jc w:val="center"/>
              <w:rPr>
                <w:rFonts w:cs="Arial"/>
                <w:b/>
                <w:bCs/>
              </w:rPr>
            </w:pPr>
            <w:r w:rsidRPr="00AD18A9">
              <w:rPr>
                <w:rFonts w:cs="Arial"/>
                <w:b/>
                <w:bCs/>
              </w:rPr>
              <w:t>Projected Balance 31-03-1</w:t>
            </w:r>
            <w:r>
              <w:rPr>
                <w:rFonts w:cs="Arial"/>
                <w:b/>
                <w:bCs/>
              </w:rPr>
              <w:t>9</w:t>
            </w:r>
          </w:p>
        </w:tc>
      </w:tr>
      <w:tr w:rsidR="005C2022" w:rsidRPr="00AD18A9" w:rsidTr="005F5307">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5C2022" w:rsidRPr="00AD18A9" w:rsidRDefault="005C2022" w:rsidP="005F5307">
            <w:pPr>
              <w:spacing w:after="0"/>
              <w:rPr>
                <w:rFonts w:cs="Arial"/>
                <w:b/>
                <w:bCs/>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5C2022" w:rsidRPr="00AD18A9" w:rsidRDefault="005C2022" w:rsidP="005F5307">
            <w:pPr>
              <w:spacing w:after="0"/>
              <w:rPr>
                <w:rFonts w:cs="Arial"/>
                <w:b/>
                <w:bCs/>
              </w:rPr>
            </w:pPr>
          </w:p>
        </w:tc>
        <w:tc>
          <w:tcPr>
            <w:tcW w:w="1400" w:type="dxa"/>
            <w:tcBorders>
              <w:top w:val="nil"/>
              <w:left w:val="nil"/>
              <w:bottom w:val="single" w:sz="8" w:space="0" w:color="000000"/>
              <w:right w:val="single" w:sz="8" w:space="0" w:color="000000"/>
            </w:tcBorders>
            <w:shd w:val="clear" w:color="000000" w:fill="E0E0E0"/>
            <w:vAlign w:val="center"/>
            <w:hideMark/>
          </w:tcPr>
          <w:p w:rsidR="005C2022" w:rsidRPr="00AD18A9" w:rsidRDefault="005C2022" w:rsidP="005F5307">
            <w:pPr>
              <w:spacing w:after="0"/>
              <w:jc w:val="center"/>
              <w:rPr>
                <w:rFonts w:cs="Arial"/>
                <w:b/>
                <w:bCs/>
              </w:rPr>
            </w:pPr>
            <w:r w:rsidRPr="00AD18A9">
              <w:rPr>
                <w:rFonts w:cs="Arial"/>
                <w:b/>
                <w:bCs/>
              </w:rPr>
              <w:t>31/03/201</w:t>
            </w:r>
            <w:r>
              <w:rPr>
                <w:rFonts w:cs="Arial"/>
                <w:b/>
                <w:bCs/>
              </w:rPr>
              <w:t>7</w:t>
            </w:r>
          </w:p>
        </w:tc>
        <w:tc>
          <w:tcPr>
            <w:tcW w:w="1400" w:type="dxa"/>
            <w:vMerge/>
            <w:tcBorders>
              <w:top w:val="single" w:sz="8" w:space="0" w:color="000000"/>
              <w:left w:val="single" w:sz="8" w:space="0" w:color="000000"/>
              <w:bottom w:val="single" w:sz="8" w:space="0" w:color="000000"/>
              <w:right w:val="single" w:sz="8" w:space="0" w:color="000000"/>
            </w:tcBorders>
            <w:vAlign w:val="center"/>
            <w:hideMark/>
          </w:tcPr>
          <w:p w:rsidR="005C2022" w:rsidRPr="00AD18A9" w:rsidRDefault="005C2022" w:rsidP="005F5307">
            <w:pPr>
              <w:spacing w:after="0"/>
              <w:rPr>
                <w:rFonts w:cs="Arial"/>
                <w:b/>
                <w:bCs/>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5C2022" w:rsidRPr="00AD18A9" w:rsidRDefault="005C2022" w:rsidP="005F5307">
            <w:pPr>
              <w:spacing w:after="0"/>
              <w:rPr>
                <w:rFonts w:cs="Arial"/>
                <w:b/>
                <w:bCs/>
              </w:rPr>
            </w:pPr>
          </w:p>
        </w:tc>
      </w:tr>
      <w:tr w:rsidR="005C2022" w:rsidRPr="00AD18A9" w:rsidTr="005F5307">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5C2022" w:rsidRPr="00AD18A9" w:rsidRDefault="005C2022" w:rsidP="005F5307">
            <w:pPr>
              <w:spacing w:after="0"/>
              <w:rPr>
                <w:rFonts w:cs="Arial"/>
                <w:b/>
                <w:bCs/>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5C2022" w:rsidRPr="00AD18A9" w:rsidRDefault="005C2022" w:rsidP="005F5307">
            <w:pPr>
              <w:spacing w:after="0"/>
              <w:rPr>
                <w:rFonts w:cs="Arial"/>
                <w:b/>
                <w:bCs/>
              </w:rPr>
            </w:pPr>
          </w:p>
        </w:tc>
        <w:tc>
          <w:tcPr>
            <w:tcW w:w="1400" w:type="dxa"/>
            <w:tcBorders>
              <w:top w:val="nil"/>
              <w:left w:val="nil"/>
              <w:bottom w:val="single" w:sz="8" w:space="0" w:color="000000"/>
              <w:right w:val="single" w:sz="8" w:space="0" w:color="000000"/>
            </w:tcBorders>
            <w:shd w:val="clear" w:color="000000" w:fill="E0E0E0"/>
            <w:vAlign w:val="center"/>
            <w:hideMark/>
          </w:tcPr>
          <w:p w:rsidR="005C2022" w:rsidRPr="00AD18A9" w:rsidRDefault="005C2022" w:rsidP="005F5307">
            <w:pPr>
              <w:spacing w:after="0"/>
              <w:jc w:val="center"/>
              <w:rPr>
                <w:rFonts w:cs="Arial"/>
                <w:b/>
                <w:bCs/>
              </w:rPr>
            </w:pPr>
            <w:r w:rsidRPr="00AD18A9">
              <w:rPr>
                <w:rFonts w:cs="Arial"/>
                <w:b/>
                <w:bCs/>
              </w:rPr>
              <w:t>£000’s</w:t>
            </w:r>
          </w:p>
        </w:tc>
        <w:tc>
          <w:tcPr>
            <w:tcW w:w="1400" w:type="dxa"/>
            <w:tcBorders>
              <w:top w:val="nil"/>
              <w:left w:val="nil"/>
              <w:bottom w:val="single" w:sz="8" w:space="0" w:color="000000"/>
              <w:right w:val="single" w:sz="8" w:space="0" w:color="000000"/>
            </w:tcBorders>
            <w:shd w:val="clear" w:color="000000" w:fill="E0E0E0"/>
            <w:vAlign w:val="center"/>
            <w:hideMark/>
          </w:tcPr>
          <w:p w:rsidR="005C2022" w:rsidRPr="00AD18A9" w:rsidRDefault="005C2022" w:rsidP="005F5307">
            <w:pPr>
              <w:spacing w:after="0"/>
              <w:jc w:val="center"/>
              <w:rPr>
                <w:rFonts w:cs="Arial"/>
                <w:b/>
                <w:bCs/>
              </w:rPr>
            </w:pPr>
            <w:r w:rsidRPr="00AD18A9">
              <w:rPr>
                <w:rFonts w:cs="Arial"/>
                <w:b/>
                <w:bCs/>
              </w:rPr>
              <w:t>£000’s</w:t>
            </w:r>
          </w:p>
        </w:tc>
        <w:tc>
          <w:tcPr>
            <w:tcW w:w="1468" w:type="dxa"/>
            <w:tcBorders>
              <w:top w:val="nil"/>
              <w:left w:val="nil"/>
              <w:bottom w:val="single" w:sz="8" w:space="0" w:color="000000"/>
              <w:right w:val="single" w:sz="8" w:space="0" w:color="000000"/>
            </w:tcBorders>
            <w:shd w:val="clear" w:color="000000" w:fill="E0E0E0"/>
            <w:vAlign w:val="center"/>
            <w:hideMark/>
          </w:tcPr>
          <w:p w:rsidR="005C2022" w:rsidRPr="00AD18A9" w:rsidRDefault="005C2022" w:rsidP="005F5307">
            <w:pPr>
              <w:spacing w:after="0"/>
              <w:jc w:val="center"/>
              <w:rPr>
                <w:rFonts w:cs="Arial"/>
                <w:b/>
                <w:bCs/>
              </w:rPr>
            </w:pPr>
            <w:r w:rsidRPr="00AD18A9">
              <w:rPr>
                <w:rFonts w:cs="Arial"/>
                <w:b/>
                <w:bCs/>
              </w:rPr>
              <w:t>£000’s</w:t>
            </w:r>
          </w:p>
        </w:tc>
      </w:tr>
      <w:tr w:rsidR="005C2022" w:rsidRPr="00AD18A9" w:rsidTr="005F5307">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b/>
                <w:bCs/>
              </w:rPr>
            </w:pPr>
            <w:r w:rsidRPr="00AD18A9">
              <w:rPr>
                <w:rFonts w:cs="Arial"/>
                <w:b/>
                <w:bCs/>
              </w:rPr>
              <w:t>General Fund Earmarked Reserves</w:t>
            </w:r>
          </w:p>
        </w:tc>
      </w:tr>
      <w:tr w:rsidR="005C2022" w:rsidRPr="00AD18A9" w:rsidTr="005F5307">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5C2022" w:rsidRPr="00AD18A9" w:rsidRDefault="005C2022" w:rsidP="005F5307">
            <w:pPr>
              <w:spacing w:after="0"/>
              <w:rPr>
                <w:rFonts w:cs="Arial"/>
              </w:rPr>
            </w:pPr>
            <w:r w:rsidRPr="00AD18A9">
              <w:rPr>
                <w:rFonts w:cs="Arial"/>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5C2022" w:rsidRPr="00344B9C" w:rsidRDefault="005C2022" w:rsidP="005F5307">
            <w:pPr>
              <w:spacing w:after="0"/>
              <w:rPr>
                <w:rFonts w:cs="Arial"/>
                <w:b/>
                <w:bCs/>
              </w:rPr>
            </w:pPr>
            <w:r w:rsidRPr="00344B9C">
              <w:rPr>
                <w:rFonts w:cs="Arial"/>
                <w:b/>
                <w:bCs/>
              </w:rPr>
              <w:t>Ring fenced accounts funded by third parties</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1</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SALIX Energy Projects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478</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478</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478</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2</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Barton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70</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70</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3</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Oxford Strategic Partnership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38</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38</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38</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54</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Blue Bin League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164</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100</w:t>
            </w:r>
          </w:p>
        </w:tc>
        <w:tc>
          <w:tcPr>
            <w:tcW w:w="1468"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52</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S106 Commuted sums</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683</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500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300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49</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Bob MK</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9</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9</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9</w:t>
            </w:r>
          </w:p>
        </w:tc>
      </w:tr>
      <w:tr w:rsidR="005C2022" w:rsidRPr="00AD18A9" w:rsidTr="005F5307">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5C2022" w:rsidRPr="00AD18A9" w:rsidRDefault="005C2022" w:rsidP="005F5307">
            <w:pPr>
              <w:spacing w:after="0"/>
              <w:rPr>
                <w:rFonts w:cs="Arial"/>
              </w:rPr>
            </w:pPr>
            <w:r w:rsidRPr="00AD18A9">
              <w:rPr>
                <w:rFonts w:cs="Arial"/>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tcPr>
          <w:p w:rsidR="005C2022" w:rsidRPr="00344B9C" w:rsidRDefault="005C2022" w:rsidP="005F5307">
            <w:pPr>
              <w:spacing w:after="0"/>
              <w:rPr>
                <w:rFonts w:cs="Arial"/>
                <w:b/>
                <w:bCs/>
              </w:rPr>
            </w:pPr>
            <w:r>
              <w:rPr>
                <w:rFonts w:cs="Arial"/>
                <w:b/>
                <w:bCs/>
              </w:rPr>
              <w:t>Other ring fenced accounts</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6</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Taxi Licence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147</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147</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147</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7</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Grants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1,165</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1,000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500</w:t>
            </w:r>
          </w:p>
        </w:tc>
      </w:tr>
      <w:tr w:rsidR="005C2022" w:rsidRPr="00B22438"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8</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HMO Licensing</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71</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71</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71</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10</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 xml:space="preserve">General </w:t>
            </w:r>
            <w:r>
              <w:rPr>
                <w:rFonts w:cs="Arial"/>
              </w:rPr>
              <w:t>L</w:t>
            </w:r>
            <w:r w:rsidRPr="00AD18A9">
              <w:rPr>
                <w:rFonts w:cs="Arial"/>
              </w:rPr>
              <w:t xml:space="preserve">icensing </w:t>
            </w:r>
            <w:r>
              <w:rPr>
                <w:rFonts w:cs="Arial"/>
              </w:rPr>
              <w:t>R</w:t>
            </w:r>
            <w:r w:rsidRPr="00AD18A9">
              <w:rPr>
                <w:rFonts w:cs="Arial"/>
              </w:rPr>
              <w:t>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55</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55</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55</w:t>
            </w:r>
          </w:p>
        </w:tc>
      </w:tr>
      <w:tr w:rsidR="005C2022" w:rsidRPr="00AD18A9" w:rsidTr="005F5307">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5C2022" w:rsidRPr="00AD18A9" w:rsidRDefault="005C2022" w:rsidP="005F5307">
            <w:pPr>
              <w:spacing w:after="0"/>
              <w:rPr>
                <w:rFonts w:cs="Arial"/>
              </w:rPr>
            </w:pPr>
            <w:r w:rsidRPr="00AD18A9">
              <w:rPr>
                <w:rFonts w:cs="Arial"/>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tcPr>
          <w:p w:rsidR="005C2022" w:rsidRPr="00344B9C" w:rsidRDefault="005C2022" w:rsidP="005F5307">
            <w:pPr>
              <w:spacing w:after="0"/>
              <w:rPr>
                <w:rFonts w:cs="Arial"/>
                <w:b/>
                <w:bCs/>
              </w:rPr>
            </w:pPr>
            <w:r>
              <w:rPr>
                <w:rFonts w:cs="Arial"/>
                <w:b/>
                <w:bCs/>
              </w:rPr>
              <w:t>Other earmarked reserves</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12</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Town Hall Equipment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22</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22</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22</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13</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Work Of Art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14</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proofErr w:type="spellStart"/>
            <w:r w:rsidRPr="00AD18A9">
              <w:rPr>
                <w:rFonts w:cs="Arial"/>
              </w:rPr>
              <w:t>Shopmobility</w:t>
            </w:r>
            <w:proofErr w:type="spellEnd"/>
            <w:r w:rsidRPr="00AD18A9">
              <w:rPr>
                <w:rFonts w:cs="Arial"/>
              </w:rPr>
              <w:t xml:space="preserve">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20</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20</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20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15</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Severance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1,103</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900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800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16</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IT Infrastructure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1,329</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1,100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700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18</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Leisure Repairs &amp; Maintenance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472</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200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200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19</w:t>
            </w:r>
          </w:p>
        </w:tc>
        <w:tc>
          <w:tcPr>
            <w:tcW w:w="4280" w:type="dxa"/>
            <w:tcBorders>
              <w:top w:val="nil"/>
              <w:left w:val="nil"/>
              <w:bottom w:val="nil"/>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 xml:space="preserve">Business Transformation </w:t>
            </w:r>
            <w:r>
              <w:rPr>
                <w:rFonts w:cs="Arial"/>
              </w:rPr>
              <w:t xml:space="preserve">and Special </w:t>
            </w:r>
            <w:r w:rsidRPr="00AD18A9">
              <w:rPr>
                <w:rFonts w:cs="Arial"/>
              </w:rPr>
              <w:t>Projects</w:t>
            </w:r>
          </w:p>
        </w:tc>
        <w:tc>
          <w:tcPr>
            <w:tcW w:w="1400" w:type="dxa"/>
            <w:tcBorders>
              <w:top w:val="nil"/>
              <w:left w:val="nil"/>
              <w:bottom w:val="nil"/>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1,071</w:t>
            </w:r>
          </w:p>
        </w:tc>
        <w:tc>
          <w:tcPr>
            <w:tcW w:w="1400" w:type="dxa"/>
            <w:tcBorders>
              <w:top w:val="nil"/>
              <w:left w:val="nil"/>
              <w:bottom w:val="nil"/>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600</w:t>
            </w:r>
          </w:p>
        </w:tc>
        <w:tc>
          <w:tcPr>
            <w:tcW w:w="1468" w:type="dxa"/>
            <w:tcBorders>
              <w:top w:val="nil"/>
              <w:left w:val="nil"/>
              <w:bottom w:val="nil"/>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400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20</w:t>
            </w:r>
          </w:p>
        </w:tc>
        <w:tc>
          <w:tcPr>
            <w:tcW w:w="4280" w:type="dxa"/>
            <w:tcBorders>
              <w:top w:val="single" w:sz="8" w:space="0" w:color="auto"/>
              <w:left w:val="nil"/>
              <w:bottom w:val="nil"/>
              <w:right w:val="single" w:sz="8" w:space="0" w:color="auto"/>
            </w:tcBorders>
            <w:shd w:val="clear" w:color="auto" w:fill="auto"/>
            <w:vAlign w:val="center"/>
            <w:hideMark/>
          </w:tcPr>
          <w:p w:rsidR="005C2022" w:rsidRPr="00AD18A9" w:rsidRDefault="005C2022" w:rsidP="005F5307">
            <w:pPr>
              <w:spacing w:after="0"/>
              <w:rPr>
                <w:rFonts w:cs="Arial"/>
              </w:rPr>
            </w:pPr>
            <w:r w:rsidRPr="00AD18A9">
              <w:rPr>
                <w:rFonts w:cs="Arial"/>
              </w:rPr>
              <w:t>City Council Elections Reserve</w:t>
            </w:r>
          </w:p>
        </w:tc>
        <w:tc>
          <w:tcPr>
            <w:tcW w:w="1400" w:type="dxa"/>
            <w:tcBorders>
              <w:top w:val="single" w:sz="8" w:space="0" w:color="auto"/>
              <w:left w:val="nil"/>
              <w:bottom w:val="nil"/>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70</w:t>
            </w:r>
          </w:p>
        </w:tc>
        <w:tc>
          <w:tcPr>
            <w:tcW w:w="1400" w:type="dxa"/>
            <w:tcBorders>
              <w:top w:val="single" w:sz="8" w:space="0" w:color="auto"/>
              <w:left w:val="nil"/>
              <w:bottom w:val="nil"/>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70</w:t>
            </w:r>
          </w:p>
        </w:tc>
        <w:tc>
          <w:tcPr>
            <w:tcW w:w="1468" w:type="dxa"/>
            <w:tcBorders>
              <w:top w:val="single" w:sz="8" w:space="0" w:color="auto"/>
              <w:left w:val="nil"/>
              <w:bottom w:val="nil"/>
              <w:right w:val="single" w:sz="8" w:space="0" w:color="auto"/>
            </w:tcBorders>
            <w:shd w:val="clear" w:color="auto" w:fill="auto"/>
            <w:vAlign w:val="center"/>
          </w:tcPr>
          <w:p w:rsidR="005C2022" w:rsidRPr="00344B9C" w:rsidRDefault="005C2022" w:rsidP="005F5307">
            <w:pPr>
              <w:spacing w:after="0"/>
              <w:jc w:val="right"/>
              <w:rPr>
                <w:rFonts w:cs="Arial"/>
              </w:rPr>
            </w:pPr>
            <w:r>
              <w:rPr>
                <w:rFonts w:cs="Arial"/>
              </w:rPr>
              <w:t>70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21</w:t>
            </w:r>
          </w:p>
        </w:tc>
        <w:tc>
          <w:tcPr>
            <w:tcW w:w="4280" w:type="dxa"/>
            <w:tcBorders>
              <w:top w:val="single" w:sz="8" w:space="0" w:color="auto"/>
              <w:left w:val="nil"/>
              <w:bottom w:val="nil"/>
              <w:right w:val="single" w:sz="8" w:space="0" w:color="auto"/>
            </w:tcBorders>
            <w:shd w:val="clear" w:color="auto" w:fill="auto"/>
            <w:vAlign w:val="center"/>
            <w:hideMark/>
          </w:tcPr>
          <w:p w:rsidR="005C2022" w:rsidRPr="00AD18A9" w:rsidRDefault="005C2022" w:rsidP="005F5307">
            <w:pPr>
              <w:spacing w:after="0"/>
              <w:rPr>
                <w:rFonts w:cs="Arial"/>
              </w:rPr>
            </w:pPr>
            <w:r w:rsidRPr="00AD18A9">
              <w:rPr>
                <w:rFonts w:cs="Arial"/>
              </w:rPr>
              <w:t>Chief Executive´s Fund</w:t>
            </w:r>
          </w:p>
        </w:tc>
        <w:tc>
          <w:tcPr>
            <w:tcW w:w="1400" w:type="dxa"/>
            <w:tcBorders>
              <w:top w:val="single" w:sz="8" w:space="0" w:color="auto"/>
              <w:left w:val="nil"/>
              <w:bottom w:val="nil"/>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w:t>
            </w:r>
          </w:p>
        </w:tc>
        <w:tc>
          <w:tcPr>
            <w:tcW w:w="1400" w:type="dxa"/>
            <w:tcBorders>
              <w:top w:val="single" w:sz="8" w:space="0" w:color="auto"/>
              <w:left w:val="nil"/>
              <w:bottom w:val="nil"/>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w:t>
            </w:r>
          </w:p>
        </w:tc>
        <w:tc>
          <w:tcPr>
            <w:tcW w:w="1468" w:type="dxa"/>
            <w:tcBorders>
              <w:top w:val="single" w:sz="8" w:space="0" w:color="auto"/>
              <w:left w:val="nil"/>
              <w:bottom w:val="nil"/>
              <w:right w:val="single" w:sz="8" w:space="0" w:color="auto"/>
            </w:tcBorders>
            <w:shd w:val="clear" w:color="auto" w:fill="auto"/>
            <w:vAlign w:val="center"/>
          </w:tcPr>
          <w:p w:rsidR="005C2022" w:rsidRPr="00344B9C" w:rsidRDefault="005C2022" w:rsidP="005F5307">
            <w:pPr>
              <w:spacing w:after="0"/>
              <w:jc w:val="right"/>
              <w:rPr>
                <w:rFonts w:cs="Arial"/>
              </w:rPr>
            </w:pPr>
            <w:r>
              <w:rPr>
                <w:rFonts w:cs="Arial"/>
              </w:rPr>
              <w:t>3</w:t>
            </w:r>
          </w:p>
        </w:tc>
      </w:tr>
      <w:tr w:rsidR="005C2022" w:rsidRPr="00AD18A9" w:rsidTr="005F530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022" w:rsidRPr="00AD18A9" w:rsidRDefault="005C2022" w:rsidP="005F5307">
            <w:pPr>
              <w:spacing w:after="0"/>
              <w:jc w:val="right"/>
              <w:rPr>
                <w:rFonts w:cs="Arial"/>
              </w:rPr>
            </w:pPr>
            <w:r w:rsidRPr="00AD18A9">
              <w:rPr>
                <w:rFonts w:cs="Arial"/>
              </w:rPr>
              <w:t>23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022" w:rsidRPr="00AD18A9" w:rsidRDefault="005C2022" w:rsidP="005F5307">
            <w:pPr>
              <w:spacing w:after="0"/>
              <w:rPr>
                <w:rFonts w:cs="Arial"/>
              </w:rPr>
            </w:pPr>
            <w:r>
              <w:rPr>
                <w:rFonts w:cs="Arial"/>
              </w:rPr>
              <w:t xml:space="preserve">Capital Funding </w:t>
            </w:r>
            <w:r w:rsidRPr="00AD18A9">
              <w:rPr>
                <w:rFonts w:cs="Arial"/>
              </w:rPr>
              <w:t>Reserve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C2022" w:rsidRPr="00344B9C" w:rsidRDefault="005C2022" w:rsidP="005F5307">
            <w:pPr>
              <w:spacing w:after="0"/>
              <w:jc w:val="right"/>
              <w:rPr>
                <w:rFonts w:cs="Arial"/>
              </w:rPr>
            </w:pPr>
            <w:r>
              <w:rPr>
                <w:rFonts w:cs="Arial"/>
              </w:rPr>
              <w:t>12,952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C2022" w:rsidRPr="00344B9C" w:rsidRDefault="005C2022" w:rsidP="005F5307">
            <w:pPr>
              <w:spacing w:after="0"/>
              <w:jc w:val="right"/>
              <w:rPr>
                <w:rFonts w:cs="Arial"/>
              </w:rPr>
            </w:pPr>
            <w:r>
              <w:rPr>
                <w:rFonts w:cs="Arial"/>
              </w:rPr>
              <w:t>8,600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5C2022" w:rsidRPr="00F24748" w:rsidRDefault="005C2022" w:rsidP="005F5307">
            <w:pPr>
              <w:spacing w:after="0"/>
              <w:jc w:val="right"/>
              <w:rPr>
                <w:rFonts w:cs="Arial"/>
              </w:rPr>
            </w:pPr>
            <w:r>
              <w:rPr>
                <w:rFonts w:cs="Arial"/>
              </w:rPr>
              <w:t>4000</w:t>
            </w:r>
          </w:p>
        </w:tc>
      </w:tr>
      <w:tr w:rsidR="005C2022" w:rsidRPr="00AD18A9" w:rsidTr="005F5307">
        <w:trPr>
          <w:trHeight w:val="329"/>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25</w:t>
            </w:r>
          </w:p>
        </w:tc>
        <w:tc>
          <w:tcPr>
            <w:tcW w:w="4280" w:type="dxa"/>
            <w:tcBorders>
              <w:top w:val="nil"/>
              <w:left w:val="nil"/>
              <w:bottom w:val="single" w:sz="8" w:space="0" w:color="auto"/>
              <w:right w:val="single" w:sz="8" w:space="0" w:color="000000"/>
            </w:tcBorders>
            <w:shd w:val="clear" w:color="auto" w:fill="auto"/>
            <w:vAlign w:val="center"/>
            <w:hideMark/>
          </w:tcPr>
          <w:p w:rsidR="005C2022" w:rsidRPr="00AD18A9" w:rsidRDefault="005C2022" w:rsidP="005F5307">
            <w:pPr>
              <w:spacing w:after="0"/>
              <w:rPr>
                <w:rFonts w:cs="Arial"/>
              </w:rPr>
            </w:pPr>
            <w:proofErr w:type="spellStart"/>
            <w:r w:rsidRPr="00AD18A9">
              <w:rPr>
                <w:rFonts w:cs="Arial"/>
              </w:rPr>
              <w:t>Agresso</w:t>
            </w:r>
            <w:proofErr w:type="spellEnd"/>
            <w:r w:rsidRPr="00AD18A9">
              <w:rPr>
                <w:rFonts w:cs="Arial"/>
              </w:rPr>
              <w:t xml:space="preserve"> Improvement Reserve</w:t>
            </w:r>
          </w:p>
        </w:tc>
        <w:tc>
          <w:tcPr>
            <w:tcW w:w="1400" w:type="dxa"/>
            <w:tcBorders>
              <w:top w:val="nil"/>
              <w:left w:val="nil"/>
              <w:bottom w:val="single" w:sz="8" w:space="0" w:color="auto"/>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365</w:t>
            </w:r>
          </w:p>
        </w:tc>
        <w:tc>
          <w:tcPr>
            <w:tcW w:w="1400" w:type="dxa"/>
            <w:tcBorders>
              <w:top w:val="nil"/>
              <w:left w:val="nil"/>
              <w:bottom w:val="single" w:sz="8" w:space="0" w:color="auto"/>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300</w:t>
            </w:r>
          </w:p>
        </w:tc>
        <w:tc>
          <w:tcPr>
            <w:tcW w:w="1468" w:type="dxa"/>
            <w:tcBorders>
              <w:top w:val="nil"/>
              <w:left w:val="nil"/>
              <w:bottom w:val="single" w:sz="8" w:space="0" w:color="auto"/>
              <w:right w:val="single" w:sz="8" w:space="0" w:color="auto"/>
            </w:tcBorders>
            <w:shd w:val="clear" w:color="auto" w:fill="auto"/>
            <w:vAlign w:val="center"/>
          </w:tcPr>
          <w:p w:rsidR="005C2022" w:rsidRPr="00AD18A9" w:rsidRDefault="005C2022" w:rsidP="005F5307">
            <w:pPr>
              <w:spacing w:after="0"/>
              <w:jc w:val="right"/>
              <w:rPr>
                <w:rFonts w:cs="Arial"/>
              </w:rPr>
            </w:pPr>
            <w:r>
              <w:rPr>
                <w:rFonts w:cs="Arial"/>
              </w:rPr>
              <w:t>250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31</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Homelessness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951</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851</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800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33</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344B9C" w:rsidRDefault="005C2022" w:rsidP="005F5307">
            <w:pPr>
              <w:spacing w:after="0"/>
              <w:rPr>
                <w:rFonts w:cs="Arial"/>
              </w:rPr>
            </w:pPr>
            <w:r w:rsidRPr="00344B9C">
              <w:rPr>
                <w:rFonts w:cs="Arial"/>
              </w:rPr>
              <w:t>Lord Mayors Deposit Scheme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51</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51</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51</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34</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344B9C" w:rsidRDefault="005C2022" w:rsidP="005F5307">
            <w:pPr>
              <w:spacing w:after="0"/>
              <w:rPr>
                <w:rFonts w:cs="Arial"/>
              </w:rPr>
            </w:pPr>
            <w:r w:rsidRPr="00344B9C">
              <w:rPr>
                <w:rFonts w:cs="Arial"/>
              </w:rPr>
              <w:t xml:space="preserve">Home Choice Fund for </w:t>
            </w:r>
            <w:r>
              <w:rPr>
                <w:rFonts w:cs="Arial"/>
              </w:rPr>
              <w:t>S</w:t>
            </w:r>
            <w:r w:rsidRPr="00344B9C">
              <w:rPr>
                <w:rFonts w:cs="Arial"/>
              </w:rPr>
              <w:t xml:space="preserve">ingle </w:t>
            </w:r>
            <w:r>
              <w:rPr>
                <w:rFonts w:cs="Arial"/>
              </w:rPr>
              <w:t>P</w:t>
            </w:r>
            <w:r w:rsidRPr="00344B9C">
              <w:rPr>
                <w:rFonts w:cs="Arial"/>
              </w:rPr>
              <w:t>ersons</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36</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36</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36</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36</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6B0C69" w:rsidRDefault="005C2022" w:rsidP="005F5307">
            <w:pPr>
              <w:spacing w:after="0"/>
              <w:rPr>
                <w:rFonts w:cs="Arial"/>
              </w:rPr>
            </w:pPr>
            <w:r w:rsidRPr="006B0C69">
              <w:rPr>
                <w:rFonts w:cs="Arial"/>
              </w:rPr>
              <w:t>Community Partnership Fund</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317</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317</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317</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37</w:t>
            </w:r>
          </w:p>
        </w:tc>
        <w:tc>
          <w:tcPr>
            <w:tcW w:w="428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rPr>
                <w:rFonts w:cs="Arial"/>
              </w:rPr>
            </w:pPr>
            <w:r>
              <w:rPr>
                <w:rFonts w:cs="Arial"/>
              </w:rPr>
              <w:t>Community and Neighbourhoods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135</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135</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135</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38</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Town Team Partners</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10</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10</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41</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Westgate Redevelopment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737</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737</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737</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42</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Emergency Flood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357</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357</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357</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43</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Park and Ride - County Contribution to Maintenance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117</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117</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117</w:t>
            </w:r>
          </w:p>
        </w:tc>
      </w:tr>
      <w:tr w:rsidR="005C2022" w:rsidRPr="00F81D84"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44</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9D3451" w:rsidRDefault="005C2022" w:rsidP="005F5307">
            <w:pPr>
              <w:spacing w:after="0"/>
              <w:rPr>
                <w:rFonts w:cs="Arial"/>
              </w:rPr>
            </w:pPr>
            <w:r w:rsidRPr="009D3451">
              <w:rPr>
                <w:rFonts w:cs="Arial"/>
              </w:rPr>
              <w:t>Organisational Development Reserve</w:t>
            </w:r>
          </w:p>
        </w:tc>
        <w:tc>
          <w:tcPr>
            <w:tcW w:w="1400"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jc w:val="right"/>
              <w:rPr>
                <w:rFonts w:cs="Arial"/>
              </w:rPr>
            </w:pPr>
            <w:r>
              <w:rPr>
                <w:rFonts w:cs="Arial"/>
              </w:rPr>
              <w:t>836</w:t>
            </w:r>
          </w:p>
        </w:tc>
        <w:tc>
          <w:tcPr>
            <w:tcW w:w="1400"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jc w:val="right"/>
              <w:rPr>
                <w:rFonts w:cs="Arial"/>
              </w:rPr>
            </w:pPr>
            <w:r>
              <w:rPr>
                <w:rFonts w:cs="Arial"/>
              </w:rPr>
              <w:t>600</w:t>
            </w:r>
          </w:p>
        </w:tc>
        <w:tc>
          <w:tcPr>
            <w:tcW w:w="1468"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jc w:val="right"/>
              <w:rPr>
                <w:rFonts w:cs="Arial"/>
              </w:rPr>
            </w:pPr>
            <w:r>
              <w:rPr>
                <w:rFonts w:cs="Arial"/>
              </w:rPr>
              <w:t>400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48</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Severe Weather Recovery Scheme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65</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65</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65</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50</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NNDR Retention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2,793</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1900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1500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4</w:t>
            </w:r>
          </w:p>
        </w:tc>
        <w:tc>
          <w:tcPr>
            <w:tcW w:w="4280"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rPr>
                <w:rFonts w:cs="Arial"/>
              </w:rPr>
            </w:pPr>
            <w:r w:rsidRPr="009D3451">
              <w:rPr>
                <w:rFonts w:cs="Arial"/>
              </w:rPr>
              <w:t>Economic Development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59</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w:t>
            </w:r>
          </w:p>
        </w:tc>
        <w:tc>
          <w:tcPr>
            <w:tcW w:w="1468"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3</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22</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Indirect Property Fund</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401</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400</w:t>
            </w:r>
          </w:p>
        </w:tc>
        <w:tc>
          <w:tcPr>
            <w:tcW w:w="1468"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400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26</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Museum Development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8</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8</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8</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27</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Disabled Community Transport</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40</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40</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29</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Ox futures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300</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0</w:t>
            </w:r>
          </w:p>
        </w:tc>
        <w:tc>
          <w:tcPr>
            <w:tcW w:w="1468"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35</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 xml:space="preserve">Dry </w:t>
            </w:r>
            <w:proofErr w:type="spellStart"/>
            <w:r>
              <w:rPr>
                <w:rFonts w:cs="Arial"/>
              </w:rPr>
              <w:t>Recyclate</w:t>
            </w:r>
            <w:proofErr w:type="spellEnd"/>
            <w:r>
              <w:rPr>
                <w:rFonts w:cs="Arial"/>
              </w:rPr>
              <w:t xml:space="preserve">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1,400</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0</w:t>
            </w:r>
          </w:p>
        </w:tc>
        <w:tc>
          <w:tcPr>
            <w:tcW w:w="1468"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40</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Housing Benefits</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504</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204</w:t>
            </w:r>
          </w:p>
        </w:tc>
        <w:tc>
          <w:tcPr>
            <w:tcW w:w="1468"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200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53</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External legal fees</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65</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65</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65</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55</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Pear Tree Park and Ride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41</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41</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41</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56</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Housing Needs reserves</w:t>
            </w:r>
          </w:p>
        </w:tc>
        <w:tc>
          <w:tcPr>
            <w:tcW w:w="140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55</w:t>
            </w:r>
          </w:p>
        </w:tc>
        <w:tc>
          <w:tcPr>
            <w:tcW w:w="140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55</w:t>
            </w:r>
          </w:p>
        </w:tc>
        <w:tc>
          <w:tcPr>
            <w:tcW w:w="1468"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55</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57</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Grenoble Road Reserve</w:t>
            </w:r>
          </w:p>
        </w:tc>
        <w:tc>
          <w:tcPr>
            <w:tcW w:w="140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200</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0</w:t>
            </w:r>
          </w:p>
        </w:tc>
        <w:tc>
          <w:tcPr>
            <w:tcW w:w="1468"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58</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Vehicle purchase reserve</w:t>
            </w:r>
          </w:p>
        </w:tc>
        <w:tc>
          <w:tcPr>
            <w:tcW w:w="140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1,500</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1,500</w:t>
            </w:r>
          </w:p>
        </w:tc>
        <w:tc>
          <w:tcPr>
            <w:tcW w:w="1468"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jc w:val="right"/>
              <w:rPr>
                <w:rFonts w:cs="Arial"/>
              </w:rPr>
            </w:pPr>
            <w:r>
              <w:rPr>
                <w:rFonts w:cs="Arial"/>
              </w:rPr>
              <w:t>2,300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5C2022" w:rsidRPr="00AD18A9" w:rsidRDefault="005C2022" w:rsidP="005F5307">
            <w:pPr>
              <w:spacing w:after="0"/>
              <w:rPr>
                <w:rFonts w:cs="Arial"/>
              </w:rPr>
            </w:pPr>
            <w:r w:rsidRPr="00AD18A9">
              <w:rPr>
                <w:rFonts w:cs="Arial"/>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5C2022" w:rsidRPr="00344B9C" w:rsidRDefault="005C2022" w:rsidP="005F5307">
            <w:pPr>
              <w:spacing w:after="0"/>
              <w:rPr>
                <w:rFonts w:cs="Arial"/>
                <w:b/>
                <w:bCs/>
              </w:rPr>
            </w:pPr>
            <w:r w:rsidRPr="00344B9C">
              <w:rPr>
                <w:rFonts w:cs="Arial"/>
                <w:b/>
                <w:bCs/>
              </w:rPr>
              <w:t>Committed unspent budgeted amounts</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45</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Committed Projects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3,673</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BFBFBF" w:themeFill="background1" w:themeFillShade="BF"/>
            <w:vAlign w:val="center"/>
          </w:tcPr>
          <w:p w:rsidR="005C2022" w:rsidRPr="007E6FFB" w:rsidRDefault="005C2022" w:rsidP="005F5307">
            <w:pPr>
              <w:spacing w:after="0"/>
              <w:jc w:val="right"/>
              <w:rPr>
                <w:rFonts w:cs="Arial"/>
                <w:b/>
              </w:rPr>
            </w:pPr>
          </w:p>
        </w:tc>
        <w:tc>
          <w:tcPr>
            <w:tcW w:w="4280" w:type="dxa"/>
            <w:tcBorders>
              <w:top w:val="nil"/>
              <w:left w:val="nil"/>
              <w:bottom w:val="single" w:sz="8" w:space="0" w:color="000000"/>
              <w:right w:val="single" w:sz="8" w:space="0" w:color="000000"/>
            </w:tcBorders>
            <w:shd w:val="clear" w:color="auto" w:fill="BFBFBF" w:themeFill="background1" w:themeFillShade="BF"/>
            <w:vAlign w:val="center"/>
          </w:tcPr>
          <w:p w:rsidR="005C2022" w:rsidRPr="007E6FFB" w:rsidRDefault="005C2022" w:rsidP="005F5307">
            <w:pPr>
              <w:spacing w:after="0"/>
              <w:rPr>
                <w:rFonts w:cs="Arial"/>
                <w:b/>
              </w:rPr>
            </w:pPr>
            <w:r w:rsidRPr="007E6FFB">
              <w:rPr>
                <w:rFonts w:cs="Arial"/>
                <w:b/>
              </w:rPr>
              <w:t>Self-Insurance Funds</w:t>
            </w: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5C2022" w:rsidRPr="007E6FFB" w:rsidRDefault="005C2022" w:rsidP="005F5307">
            <w:pPr>
              <w:spacing w:after="0"/>
              <w:jc w:val="right"/>
              <w:rPr>
                <w:rFonts w:cs="Arial"/>
                <w:b/>
              </w:rPr>
            </w:pP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5C2022" w:rsidRPr="007E6FFB" w:rsidRDefault="005C2022" w:rsidP="005F5307">
            <w:pPr>
              <w:spacing w:after="0"/>
              <w:jc w:val="right"/>
              <w:rPr>
                <w:rFonts w:cs="Arial"/>
                <w:b/>
              </w:rPr>
            </w:pPr>
          </w:p>
        </w:tc>
        <w:tc>
          <w:tcPr>
            <w:tcW w:w="1468" w:type="dxa"/>
            <w:tcBorders>
              <w:top w:val="nil"/>
              <w:left w:val="nil"/>
              <w:bottom w:val="single" w:sz="8" w:space="0" w:color="000000"/>
              <w:right w:val="single" w:sz="8" w:space="0" w:color="000000"/>
            </w:tcBorders>
            <w:shd w:val="clear" w:color="auto" w:fill="BFBFBF" w:themeFill="background1" w:themeFillShade="BF"/>
            <w:vAlign w:val="center"/>
          </w:tcPr>
          <w:p w:rsidR="005C2022" w:rsidRPr="007E6FFB" w:rsidRDefault="005C2022" w:rsidP="005F5307">
            <w:pPr>
              <w:spacing w:after="0"/>
              <w:jc w:val="right"/>
              <w:rPr>
                <w:rFonts w:cs="Arial"/>
                <w:b/>
              </w:rPr>
            </w:pP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46</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372A30" w:rsidRDefault="005C2022" w:rsidP="005F5307">
            <w:pPr>
              <w:spacing w:after="0"/>
              <w:rPr>
                <w:rFonts w:cs="Arial"/>
              </w:rPr>
            </w:pPr>
            <w:r w:rsidRPr="00372A30">
              <w:rPr>
                <w:rFonts w:cs="Arial"/>
              </w:rPr>
              <w:t>Self-Insurance Funds</w:t>
            </w:r>
          </w:p>
        </w:tc>
        <w:tc>
          <w:tcPr>
            <w:tcW w:w="1400" w:type="dxa"/>
            <w:tcBorders>
              <w:top w:val="nil"/>
              <w:left w:val="nil"/>
              <w:bottom w:val="single" w:sz="8" w:space="0" w:color="000000"/>
              <w:right w:val="single" w:sz="8" w:space="0" w:color="000000"/>
            </w:tcBorders>
            <w:shd w:val="clear" w:color="auto" w:fill="auto"/>
            <w:vAlign w:val="center"/>
          </w:tcPr>
          <w:p w:rsidR="005C2022" w:rsidRPr="00372A30" w:rsidRDefault="005C2022" w:rsidP="005F5307">
            <w:pPr>
              <w:spacing w:after="0"/>
              <w:jc w:val="right"/>
              <w:rPr>
                <w:rFonts w:cs="Arial"/>
              </w:rPr>
            </w:pPr>
            <w:r>
              <w:rPr>
                <w:rFonts w:cs="Arial"/>
              </w:rPr>
              <w:t>1,708</w:t>
            </w:r>
          </w:p>
        </w:tc>
        <w:tc>
          <w:tcPr>
            <w:tcW w:w="1400" w:type="dxa"/>
            <w:tcBorders>
              <w:top w:val="nil"/>
              <w:left w:val="nil"/>
              <w:bottom w:val="single" w:sz="8" w:space="0" w:color="000000"/>
              <w:right w:val="single" w:sz="8" w:space="0" w:color="000000"/>
            </w:tcBorders>
            <w:shd w:val="clear" w:color="auto" w:fill="auto"/>
            <w:vAlign w:val="center"/>
          </w:tcPr>
          <w:p w:rsidR="005C2022" w:rsidRPr="00372A30" w:rsidRDefault="005C2022" w:rsidP="005F5307">
            <w:pPr>
              <w:spacing w:after="0"/>
              <w:jc w:val="right"/>
              <w:rPr>
                <w:rFonts w:cs="Arial"/>
              </w:rPr>
            </w:pPr>
            <w:r>
              <w:rPr>
                <w:rFonts w:cs="Arial"/>
              </w:rPr>
              <w:t>1,700</w:t>
            </w:r>
          </w:p>
        </w:tc>
        <w:tc>
          <w:tcPr>
            <w:tcW w:w="1468" w:type="dxa"/>
            <w:tcBorders>
              <w:top w:val="nil"/>
              <w:left w:val="nil"/>
              <w:bottom w:val="single" w:sz="8" w:space="0" w:color="000000"/>
              <w:right w:val="single" w:sz="8" w:space="0" w:color="000000"/>
            </w:tcBorders>
            <w:shd w:val="clear" w:color="auto" w:fill="auto"/>
            <w:vAlign w:val="center"/>
          </w:tcPr>
          <w:p w:rsidR="005C2022" w:rsidRPr="00372A30" w:rsidRDefault="005C2022" w:rsidP="005F5307">
            <w:pPr>
              <w:spacing w:after="0"/>
              <w:jc w:val="right"/>
              <w:rPr>
                <w:rFonts w:cs="Arial"/>
              </w:rPr>
            </w:pPr>
            <w:r>
              <w:rPr>
                <w:rFonts w:cs="Arial"/>
              </w:rPr>
              <w:t>1,700</w:t>
            </w:r>
          </w:p>
        </w:tc>
      </w:tr>
      <w:tr w:rsidR="005C2022" w:rsidRPr="00AD18A9" w:rsidTr="005F5307">
        <w:trPr>
          <w:trHeight w:val="330"/>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b/>
                <w:bCs/>
              </w:rPr>
            </w:pPr>
            <w:r w:rsidRPr="00AD18A9">
              <w:rPr>
                <w:rFonts w:cs="Arial"/>
                <w:b/>
                <w:bCs/>
              </w:rPr>
              <w:t>Total General Fund Earmarked Reserves</w:t>
            </w:r>
          </w:p>
        </w:tc>
        <w:tc>
          <w:tcPr>
            <w:tcW w:w="140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b/>
                <w:bCs/>
              </w:rPr>
            </w:pPr>
            <w:r>
              <w:rPr>
                <w:rFonts w:cs="Arial"/>
                <w:b/>
                <w:bCs/>
              </w:rPr>
              <w:t>36,728</w:t>
            </w:r>
          </w:p>
        </w:tc>
        <w:tc>
          <w:tcPr>
            <w:tcW w:w="140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b/>
                <w:bCs/>
              </w:rPr>
            </w:pPr>
            <w:r>
              <w:rPr>
                <w:rFonts w:cs="Arial"/>
                <w:b/>
                <w:bCs/>
              </w:rPr>
              <w:t>23,490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b/>
                <w:bCs/>
              </w:rPr>
            </w:pPr>
            <w:r>
              <w:rPr>
                <w:rFonts w:cs="Arial"/>
                <w:b/>
                <w:bCs/>
              </w:rPr>
              <w:t>17,523</w:t>
            </w:r>
          </w:p>
        </w:tc>
      </w:tr>
    </w:tbl>
    <w:p w:rsidR="005C2022" w:rsidRPr="008C3B83" w:rsidRDefault="005C2022" w:rsidP="005C2022">
      <w:pPr>
        <w:pStyle w:val="Default"/>
        <w:rPr>
          <w:rFonts w:ascii="Arial" w:hAnsi="Arial" w:cs="Arial"/>
          <w:sz w:val="22"/>
          <w:szCs w:val="22"/>
        </w:rPr>
      </w:pPr>
    </w:p>
    <w:tbl>
      <w:tblPr>
        <w:tblW w:w="9498" w:type="dxa"/>
        <w:tblInd w:w="108" w:type="dxa"/>
        <w:tblLayout w:type="fixed"/>
        <w:tblLook w:val="0000" w:firstRow="0" w:lastRow="0" w:firstColumn="0" w:lastColumn="0" w:noHBand="0" w:noVBand="0"/>
      </w:tblPr>
      <w:tblGrid>
        <w:gridCol w:w="5245"/>
        <w:gridCol w:w="1418"/>
        <w:gridCol w:w="1417"/>
        <w:gridCol w:w="1418"/>
      </w:tblGrid>
      <w:tr w:rsidR="005C2022" w:rsidRPr="008C3B83" w:rsidTr="005F5307">
        <w:trPr>
          <w:trHeight w:val="320"/>
        </w:trPr>
        <w:tc>
          <w:tcPr>
            <w:tcW w:w="5245" w:type="dxa"/>
            <w:tcBorders>
              <w:top w:val="single" w:sz="2" w:space="0" w:color="000000"/>
              <w:left w:val="single" w:sz="2" w:space="0" w:color="000000"/>
              <w:bottom w:val="single" w:sz="2" w:space="0" w:color="000000"/>
              <w:right w:val="single" w:sz="2" w:space="0" w:color="000000"/>
            </w:tcBorders>
          </w:tcPr>
          <w:p w:rsidR="005C2022" w:rsidRPr="007E6FFB" w:rsidRDefault="005C2022" w:rsidP="005F5307">
            <w:pPr>
              <w:pStyle w:val="Default"/>
              <w:rPr>
                <w:rFonts w:ascii="Arial" w:hAnsi="Arial" w:cs="Arial"/>
                <w:b/>
                <w:sz w:val="22"/>
                <w:szCs w:val="22"/>
              </w:rPr>
            </w:pPr>
            <w:r w:rsidRPr="007E6FFB">
              <w:rPr>
                <w:rFonts w:ascii="Arial" w:hAnsi="Arial" w:cs="Arial"/>
                <w:b/>
                <w:color w:val="000000"/>
                <w:sz w:val="22"/>
                <w:szCs w:val="22"/>
              </w:rPr>
              <w:t>General Fund Working Balance</w:t>
            </w:r>
          </w:p>
        </w:tc>
        <w:tc>
          <w:tcPr>
            <w:tcW w:w="1418" w:type="dxa"/>
            <w:tcBorders>
              <w:top w:val="single" w:sz="2" w:space="0" w:color="000000"/>
              <w:left w:val="single" w:sz="2" w:space="0" w:color="000000"/>
              <w:bottom w:val="single" w:sz="2" w:space="0" w:color="000000"/>
              <w:right w:val="single" w:sz="2" w:space="0" w:color="000000"/>
            </w:tcBorders>
          </w:tcPr>
          <w:p w:rsidR="005C2022" w:rsidRPr="008C3B83" w:rsidRDefault="005C2022" w:rsidP="005F5307">
            <w:pPr>
              <w:pStyle w:val="Default"/>
              <w:jc w:val="right"/>
              <w:rPr>
                <w:rFonts w:ascii="Arial" w:hAnsi="Arial" w:cs="Arial"/>
                <w:b/>
                <w:sz w:val="22"/>
                <w:szCs w:val="22"/>
              </w:rPr>
            </w:pPr>
            <w:r>
              <w:rPr>
                <w:rFonts w:ascii="Arial" w:hAnsi="Arial" w:cs="Arial"/>
                <w:b/>
                <w:sz w:val="22"/>
                <w:szCs w:val="22"/>
              </w:rPr>
              <w:t>3,622</w:t>
            </w:r>
          </w:p>
        </w:tc>
        <w:tc>
          <w:tcPr>
            <w:tcW w:w="1417" w:type="dxa"/>
            <w:tcBorders>
              <w:top w:val="single" w:sz="2" w:space="0" w:color="000000"/>
              <w:left w:val="single" w:sz="2" w:space="0" w:color="000000"/>
              <w:bottom w:val="single" w:sz="2" w:space="0" w:color="000000"/>
              <w:right w:val="single" w:sz="2" w:space="0" w:color="000000"/>
            </w:tcBorders>
          </w:tcPr>
          <w:p w:rsidR="005C2022" w:rsidRPr="008C3B83" w:rsidRDefault="005C2022" w:rsidP="005F5307">
            <w:pPr>
              <w:pStyle w:val="Default"/>
              <w:spacing w:after="200" w:line="276" w:lineRule="auto"/>
              <w:jc w:val="right"/>
              <w:rPr>
                <w:rFonts w:ascii="Arial" w:hAnsi="Arial" w:cs="Arial"/>
                <w:b/>
                <w:sz w:val="22"/>
                <w:szCs w:val="22"/>
              </w:rPr>
            </w:pPr>
            <w:r>
              <w:rPr>
                <w:rFonts w:ascii="Arial" w:hAnsi="Arial" w:cs="Arial"/>
                <w:b/>
                <w:sz w:val="22"/>
                <w:szCs w:val="22"/>
              </w:rPr>
              <w:t>4,000</w:t>
            </w:r>
          </w:p>
        </w:tc>
        <w:tc>
          <w:tcPr>
            <w:tcW w:w="1418" w:type="dxa"/>
            <w:tcBorders>
              <w:top w:val="single" w:sz="2" w:space="0" w:color="000000"/>
              <w:left w:val="single" w:sz="2" w:space="0" w:color="000000"/>
              <w:bottom w:val="single" w:sz="2" w:space="0" w:color="000000"/>
              <w:right w:val="single" w:sz="2" w:space="0" w:color="000000"/>
            </w:tcBorders>
          </w:tcPr>
          <w:p w:rsidR="005C2022" w:rsidRPr="008C3B83" w:rsidRDefault="005C2022" w:rsidP="005F5307">
            <w:pPr>
              <w:pStyle w:val="Default"/>
              <w:spacing w:after="200" w:line="276" w:lineRule="auto"/>
              <w:jc w:val="right"/>
              <w:rPr>
                <w:rFonts w:ascii="Arial" w:hAnsi="Arial" w:cs="Arial"/>
                <w:b/>
                <w:color w:val="000000"/>
                <w:sz w:val="22"/>
                <w:szCs w:val="22"/>
              </w:rPr>
            </w:pPr>
            <w:r>
              <w:rPr>
                <w:rFonts w:ascii="Arial" w:hAnsi="Arial" w:cs="Arial"/>
                <w:b/>
                <w:color w:val="000000"/>
                <w:sz w:val="22"/>
                <w:szCs w:val="22"/>
              </w:rPr>
              <w:t>3,900</w:t>
            </w:r>
          </w:p>
        </w:tc>
      </w:tr>
    </w:tbl>
    <w:p w:rsidR="005C2022" w:rsidRPr="008C3B83" w:rsidRDefault="005C2022" w:rsidP="005C2022">
      <w:pPr>
        <w:pStyle w:val="Default"/>
        <w:rPr>
          <w:rFonts w:ascii="Arial" w:hAnsi="Arial" w:cs="Arial"/>
          <w:sz w:val="22"/>
          <w:szCs w:val="22"/>
        </w:rPr>
      </w:pPr>
    </w:p>
    <w:tbl>
      <w:tblPr>
        <w:tblW w:w="9508" w:type="dxa"/>
        <w:tblInd w:w="98" w:type="dxa"/>
        <w:tblLook w:val="04A0" w:firstRow="1" w:lastRow="0" w:firstColumn="1" w:lastColumn="0" w:noHBand="0" w:noVBand="1"/>
      </w:tblPr>
      <w:tblGrid>
        <w:gridCol w:w="960"/>
        <w:gridCol w:w="4280"/>
        <w:gridCol w:w="1400"/>
        <w:gridCol w:w="1400"/>
        <w:gridCol w:w="1468"/>
      </w:tblGrid>
      <w:tr w:rsidR="005C2022" w:rsidRPr="00AD18A9" w:rsidTr="005F5307">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5C2022" w:rsidRPr="00AD18A9" w:rsidRDefault="005C2022" w:rsidP="005F5307">
            <w:pPr>
              <w:spacing w:after="0"/>
              <w:rPr>
                <w:rFonts w:cs="Arial"/>
                <w:b/>
                <w:bCs/>
              </w:rPr>
            </w:pPr>
            <w:r w:rsidRPr="00AD18A9">
              <w:rPr>
                <w:rFonts w:cs="Arial"/>
                <w:b/>
                <w:bCs/>
              </w:rPr>
              <w:t>Housing Revenue Account Earmarked Reserves</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2</w:t>
            </w:r>
          </w:p>
        </w:tc>
        <w:tc>
          <w:tcPr>
            <w:tcW w:w="428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rPr>
                <w:rFonts w:cs="Arial"/>
              </w:rPr>
            </w:pPr>
            <w:r>
              <w:rPr>
                <w:rFonts w:cs="Arial"/>
              </w:rPr>
              <w:t>HRA CRM Reserve</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120</w:t>
            </w:r>
          </w:p>
        </w:tc>
        <w:tc>
          <w:tcPr>
            <w:tcW w:w="1400"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120</w:t>
            </w:r>
          </w:p>
        </w:tc>
        <w:tc>
          <w:tcPr>
            <w:tcW w:w="1468" w:type="dxa"/>
            <w:tcBorders>
              <w:top w:val="nil"/>
              <w:left w:val="nil"/>
              <w:bottom w:val="single" w:sz="8" w:space="0" w:color="000000"/>
              <w:right w:val="single" w:sz="8" w:space="0" w:color="000000"/>
            </w:tcBorders>
            <w:shd w:val="clear" w:color="auto" w:fill="auto"/>
            <w:vAlign w:val="center"/>
          </w:tcPr>
          <w:p w:rsidR="005C2022" w:rsidRPr="00344B9C" w:rsidRDefault="005C2022" w:rsidP="005F5307">
            <w:pPr>
              <w:spacing w:after="0"/>
              <w:jc w:val="right"/>
              <w:rPr>
                <w:rFonts w:cs="Arial"/>
              </w:rPr>
            </w:pPr>
            <w:r>
              <w:rPr>
                <w:rFonts w:cs="Arial"/>
              </w:rPr>
              <w:t>120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jc w:val="right"/>
              <w:rPr>
                <w:rFonts w:cs="Arial"/>
              </w:rPr>
            </w:pPr>
            <w:r w:rsidRPr="00AD18A9">
              <w:rPr>
                <w:rFonts w:cs="Arial"/>
              </w:rPr>
              <w:t>3</w:t>
            </w:r>
          </w:p>
        </w:tc>
        <w:tc>
          <w:tcPr>
            <w:tcW w:w="4280" w:type="dxa"/>
            <w:tcBorders>
              <w:top w:val="nil"/>
              <w:left w:val="nil"/>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rPr>
            </w:pPr>
            <w:r w:rsidRPr="00AD18A9">
              <w:rPr>
                <w:rFonts w:cs="Arial"/>
              </w:rPr>
              <w:t>IT Equipment Reserve</w:t>
            </w:r>
          </w:p>
        </w:tc>
        <w:tc>
          <w:tcPr>
            <w:tcW w:w="1400"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jc w:val="right"/>
              <w:rPr>
                <w:rFonts w:cs="Arial"/>
              </w:rPr>
            </w:pPr>
            <w:r>
              <w:rPr>
                <w:rFonts w:cs="Arial"/>
              </w:rPr>
              <w:t>196</w:t>
            </w:r>
          </w:p>
        </w:tc>
        <w:tc>
          <w:tcPr>
            <w:tcW w:w="1400"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jc w:val="right"/>
              <w:rPr>
                <w:rFonts w:cs="Arial"/>
              </w:rPr>
            </w:pPr>
            <w:r>
              <w:rPr>
                <w:rFonts w:cs="Arial"/>
              </w:rPr>
              <w:t>100</w:t>
            </w:r>
          </w:p>
        </w:tc>
        <w:tc>
          <w:tcPr>
            <w:tcW w:w="1468"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jc w:val="right"/>
              <w:rPr>
                <w:rFonts w:cs="Arial"/>
              </w:rPr>
            </w:pPr>
            <w:r>
              <w:rPr>
                <w:rFonts w:cs="Arial"/>
              </w:rPr>
              <w:t>100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5</w:t>
            </w:r>
          </w:p>
        </w:tc>
        <w:tc>
          <w:tcPr>
            <w:tcW w:w="428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rPr>
                <w:rFonts w:cs="Arial"/>
              </w:rPr>
            </w:pPr>
            <w:r>
              <w:rPr>
                <w:rFonts w:cs="Arial"/>
              </w:rPr>
              <w:t>Capital Projects Reserve</w:t>
            </w:r>
          </w:p>
        </w:tc>
        <w:tc>
          <w:tcPr>
            <w:tcW w:w="1400"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jc w:val="right"/>
              <w:rPr>
                <w:rFonts w:cs="Arial"/>
              </w:rPr>
            </w:pPr>
            <w:r>
              <w:rPr>
                <w:rFonts w:cs="Arial"/>
              </w:rPr>
              <w:t>17,240</w:t>
            </w:r>
          </w:p>
        </w:tc>
        <w:tc>
          <w:tcPr>
            <w:tcW w:w="140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16,240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6</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Direct Payment Project Arrears</w:t>
            </w:r>
          </w:p>
        </w:tc>
        <w:tc>
          <w:tcPr>
            <w:tcW w:w="1400"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jc w:val="right"/>
              <w:rPr>
                <w:rFonts w:cs="Arial"/>
              </w:rPr>
            </w:pPr>
            <w:r>
              <w:rPr>
                <w:rFonts w:cs="Arial"/>
              </w:rPr>
              <w:t>101</w:t>
            </w:r>
          </w:p>
        </w:tc>
        <w:tc>
          <w:tcPr>
            <w:tcW w:w="140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0</w:t>
            </w:r>
          </w:p>
        </w:tc>
      </w:tr>
      <w:tr w:rsidR="005C2022" w:rsidRPr="00AD18A9" w:rsidTr="005F5307">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7</w:t>
            </w:r>
          </w:p>
        </w:tc>
        <w:tc>
          <w:tcPr>
            <w:tcW w:w="4280" w:type="dxa"/>
            <w:tcBorders>
              <w:top w:val="nil"/>
              <w:left w:val="nil"/>
              <w:bottom w:val="single" w:sz="8" w:space="0" w:color="000000"/>
              <w:right w:val="single" w:sz="8" w:space="0" w:color="000000"/>
            </w:tcBorders>
            <w:shd w:val="clear" w:color="auto" w:fill="auto"/>
            <w:vAlign w:val="center"/>
          </w:tcPr>
          <w:p w:rsidR="005C2022" w:rsidRDefault="005C2022" w:rsidP="005F5307">
            <w:pPr>
              <w:spacing w:after="0"/>
              <w:rPr>
                <w:rFonts w:cs="Arial"/>
              </w:rPr>
            </w:pPr>
            <w:r>
              <w:rPr>
                <w:rFonts w:cs="Arial"/>
              </w:rPr>
              <w:t>Eco Funding</w:t>
            </w:r>
          </w:p>
        </w:tc>
        <w:tc>
          <w:tcPr>
            <w:tcW w:w="1400" w:type="dxa"/>
            <w:tcBorders>
              <w:top w:val="nil"/>
              <w:left w:val="nil"/>
              <w:bottom w:val="single" w:sz="8" w:space="0" w:color="000000"/>
              <w:right w:val="single" w:sz="8" w:space="0" w:color="000000"/>
            </w:tcBorders>
            <w:shd w:val="clear" w:color="auto" w:fill="auto"/>
            <w:vAlign w:val="center"/>
          </w:tcPr>
          <w:p w:rsidR="005C2022" w:rsidRPr="009D3451" w:rsidRDefault="005C2022" w:rsidP="005F5307">
            <w:pPr>
              <w:spacing w:after="0"/>
              <w:jc w:val="right"/>
              <w:rPr>
                <w:rFonts w:cs="Arial"/>
              </w:rPr>
            </w:pPr>
            <w:r>
              <w:rPr>
                <w:rFonts w:cs="Arial"/>
              </w:rPr>
              <w:t>119</w:t>
            </w:r>
          </w:p>
        </w:tc>
        <w:tc>
          <w:tcPr>
            <w:tcW w:w="140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120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rPr>
            </w:pPr>
            <w:r>
              <w:rPr>
                <w:rFonts w:cs="Arial"/>
              </w:rPr>
              <w:t>0</w:t>
            </w:r>
          </w:p>
        </w:tc>
      </w:tr>
      <w:tr w:rsidR="005C2022" w:rsidRPr="00AD18A9" w:rsidTr="005F5307">
        <w:trPr>
          <w:trHeight w:val="315"/>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2022" w:rsidRPr="00AD18A9" w:rsidRDefault="005C2022" w:rsidP="005F5307">
            <w:pPr>
              <w:spacing w:after="0"/>
              <w:rPr>
                <w:rFonts w:cs="Arial"/>
                <w:b/>
                <w:bCs/>
              </w:rPr>
            </w:pPr>
            <w:r w:rsidRPr="00AD18A9">
              <w:rPr>
                <w:rFonts w:cs="Arial"/>
                <w:b/>
                <w:bCs/>
              </w:rPr>
              <w:t>Total HRA Earmarked Reserves</w:t>
            </w:r>
          </w:p>
        </w:tc>
        <w:tc>
          <w:tcPr>
            <w:tcW w:w="140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b/>
                <w:bCs/>
              </w:rPr>
            </w:pPr>
            <w:r>
              <w:rPr>
                <w:rFonts w:cs="Arial"/>
                <w:b/>
                <w:bCs/>
              </w:rPr>
              <w:t>17,776</w:t>
            </w:r>
          </w:p>
        </w:tc>
        <w:tc>
          <w:tcPr>
            <w:tcW w:w="1400"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b/>
                <w:bCs/>
              </w:rPr>
            </w:pPr>
            <w:r>
              <w:rPr>
                <w:rFonts w:cs="Arial"/>
                <w:b/>
                <w:bCs/>
              </w:rPr>
              <w:t>16,580</w:t>
            </w:r>
          </w:p>
        </w:tc>
        <w:tc>
          <w:tcPr>
            <w:tcW w:w="1468" w:type="dxa"/>
            <w:tcBorders>
              <w:top w:val="nil"/>
              <w:left w:val="nil"/>
              <w:bottom w:val="single" w:sz="8" w:space="0" w:color="000000"/>
              <w:right w:val="single" w:sz="8" w:space="0" w:color="000000"/>
            </w:tcBorders>
            <w:shd w:val="clear" w:color="auto" w:fill="auto"/>
            <w:vAlign w:val="center"/>
          </w:tcPr>
          <w:p w:rsidR="005C2022" w:rsidRPr="00AD18A9" w:rsidRDefault="005C2022" w:rsidP="005F5307">
            <w:pPr>
              <w:spacing w:after="0"/>
              <w:jc w:val="right"/>
              <w:rPr>
                <w:rFonts w:cs="Arial"/>
                <w:b/>
                <w:bCs/>
              </w:rPr>
            </w:pPr>
            <w:r>
              <w:rPr>
                <w:rFonts w:cs="Arial"/>
                <w:b/>
                <w:bCs/>
              </w:rPr>
              <w:t>220</w:t>
            </w:r>
          </w:p>
        </w:tc>
      </w:tr>
    </w:tbl>
    <w:p w:rsidR="005C2022" w:rsidRPr="008C3B83" w:rsidRDefault="005C2022" w:rsidP="005C2022">
      <w:pPr>
        <w:pStyle w:val="Default"/>
        <w:rPr>
          <w:rFonts w:ascii="Arial" w:hAnsi="Arial" w:cs="Arial"/>
          <w:sz w:val="22"/>
          <w:szCs w:val="22"/>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5C2022" w:rsidRPr="002B2C94" w:rsidTr="005F5307">
        <w:trPr>
          <w:trHeight w:val="320"/>
        </w:trPr>
        <w:tc>
          <w:tcPr>
            <w:tcW w:w="5070" w:type="dxa"/>
            <w:tcBorders>
              <w:top w:val="single" w:sz="2" w:space="0" w:color="000000"/>
              <w:left w:val="single" w:sz="2" w:space="0" w:color="000000"/>
              <w:bottom w:val="single" w:sz="2" w:space="0" w:color="000000"/>
              <w:right w:val="single" w:sz="2" w:space="0" w:color="000000"/>
            </w:tcBorders>
          </w:tcPr>
          <w:p w:rsidR="005C2022" w:rsidRPr="002B2C94" w:rsidRDefault="005C2022" w:rsidP="005F5307">
            <w:pPr>
              <w:pStyle w:val="Default"/>
              <w:rPr>
                <w:rFonts w:ascii="Arial" w:hAnsi="Arial" w:cs="Arial"/>
                <w:b/>
                <w:sz w:val="22"/>
                <w:szCs w:val="22"/>
              </w:rPr>
            </w:pPr>
            <w:r w:rsidRPr="002B2C94">
              <w:rPr>
                <w:rFonts w:ascii="Arial" w:hAnsi="Arial" w:cs="Arial"/>
                <w:b/>
                <w:color w:val="000000"/>
                <w:sz w:val="22"/>
                <w:szCs w:val="22"/>
              </w:rPr>
              <w:t>Housing Revenue Account Working Balance</w:t>
            </w:r>
          </w:p>
        </w:tc>
        <w:tc>
          <w:tcPr>
            <w:tcW w:w="1593" w:type="dxa"/>
            <w:tcBorders>
              <w:top w:val="single" w:sz="2" w:space="0" w:color="000000"/>
              <w:left w:val="single" w:sz="2" w:space="0" w:color="000000"/>
              <w:bottom w:val="single" w:sz="2" w:space="0" w:color="000000"/>
              <w:right w:val="single" w:sz="2" w:space="0" w:color="000000"/>
            </w:tcBorders>
          </w:tcPr>
          <w:p w:rsidR="005C2022" w:rsidRPr="000A4951" w:rsidRDefault="005C2022" w:rsidP="005F5307">
            <w:pPr>
              <w:pStyle w:val="Default"/>
              <w:jc w:val="right"/>
              <w:rPr>
                <w:rFonts w:ascii="Arial" w:hAnsi="Arial" w:cs="Arial"/>
                <w:b/>
                <w:sz w:val="22"/>
                <w:szCs w:val="22"/>
              </w:rPr>
            </w:pPr>
            <w:r>
              <w:rPr>
                <w:rFonts w:ascii="Arial" w:hAnsi="Arial" w:cs="Arial"/>
                <w:b/>
                <w:sz w:val="22"/>
                <w:szCs w:val="22"/>
              </w:rPr>
              <w:t>4,000</w:t>
            </w:r>
          </w:p>
        </w:tc>
        <w:tc>
          <w:tcPr>
            <w:tcW w:w="1417" w:type="dxa"/>
            <w:tcBorders>
              <w:top w:val="single" w:sz="2" w:space="0" w:color="000000"/>
              <w:left w:val="single" w:sz="2" w:space="0" w:color="000000"/>
              <w:bottom w:val="single" w:sz="2" w:space="0" w:color="000000"/>
              <w:right w:val="single" w:sz="2" w:space="0" w:color="000000"/>
            </w:tcBorders>
          </w:tcPr>
          <w:p w:rsidR="005C2022" w:rsidRPr="000A4951" w:rsidRDefault="005C2022" w:rsidP="005F5307">
            <w:pPr>
              <w:pStyle w:val="Default"/>
              <w:spacing w:after="200" w:line="276" w:lineRule="auto"/>
              <w:jc w:val="right"/>
              <w:rPr>
                <w:rFonts w:ascii="Arial" w:hAnsi="Arial" w:cs="Arial"/>
                <w:b/>
                <w:sz w:val="22"/>
                <w:szCs w:val="22"/>
              </w:rPr>
            </w:pPr>
            <w:r>
              <w:rPr>
                <w:rFonts w:ascii="Arial" w:hAnsi="Arial" w:cs="Arial"/>
                <w:b/>
                <w:sz w:val="22"/>
                <w:szCs w:val="22"/>
              </w:rPr>
              <w:t>4,900</w:t>
            </w:r>
          </w:p>
        </w:tc>
        <w:tc>
          <w:tcPr>
            <w:tcW w:w="1417" w:type="dxa"/>
            <w:tcBorders>
              <w:top w:val="single" w:sz="2" w:space="0" w:color="000000"/>
              <w:left w:val="single" w:sz="2" w:space="0" w:color="000000"/>
              <w:bottom w:val="single" w:sz="2" w:space="0" w:color="000000"/>
              <w:right w:val="single" w:sz="2" w:space="0" w:color="000000"/>
            </w:tcBorders>
          </w:tcPr>
          <w:p w:rsidR="005C2022" w:rsidRPr="002B2C94" w:rsidRDefault="005C2022" w:rsidP="005F5307">
            <w:pPr>
              <w:pStyle w:val="Default"/>
              <w:spacing w:after="200" w:line="276" w:lineRule="auto"/>
              <w:jc w:val="right"/>
              <w:rPr>
                <w:rFonts w:ascii="Arial" w:hAnsi="Arial" w:cs="Arial"/>
                <w:b/>
                <w:sz w:val="22"/>
                <w:szCs w:val="22"/>
              </w:rPr>
            </w:pPr>
            <w:r>
              <w:rPr>
                <w:rFonts w:ascii="Arial" w:hAnsi="Arial" w:cs="Arial"/>
                <w:b/>
                <w:sz w:val="22"/>
                <w:szCs w:val="22"/>
              </w:rPr>
              <w:t>3,500</w:t>
            </w:r>
          </w:p>
        </w:tc>
      </w:tr>
    </w:tbl>
    <w:p w:rsidR="005C2022" w:rsidRPr="002B2C94" w:rsidRDefault="005C2022" w:rsidP="005C2022">
      <w:pPr>
        <w:pStyle w:val="Default"/>
        <w:ind w:left="540" w:hanging="540"/>
        <w:rPr>
          <w:rFonts w:ascii="Arial" w:hAnsi="Arial" w:cs="Arial"/>
          <w:b/>
          <w:sz w:val="22"/>
          <w:szCs w:val="22"/>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5C2022" w:rsidRPr="002B2C94" w:rsidTr="005F5307">
        <w:trPr>
          <w:trHeight w:val="320"/>
        </w:trPr>
        <w:tc>
          <w:tcPr>
            <w:tcW w:w="5070" w:type="dxa"/>
            <w:tcBorders>
              <w:top w:val="single" w:sz="2" w:space="0" w:color="000000"/>
              <w:left w:val="single" w:sz="2" w:space="0" w:color="000000"/>
              <w:bottom w:val="single" w:sz="2" w:space="0" w:color="000000"/>
              <w:right w:val="single" w:sz="2" w:space="0" w:color="000000"/>
            </w:tcBorders>
          </w:tcPr>
          <w:p w:rsidR="005C2022" w:rsidRPr="002B2C94" w:rsidRDefault="005C2022" w:rsidP="005F5307">
            <w:pPr>
              <w:pStyle w:val="Default"/>
              <w:rPr>
                <w:rFonts w:ascii="Arial" w:hAnsi="Arial" w:cs="Arial"/>
                <w:b/>
                <w:sz w:val="22"/>
                <w:szCs w:val="22"/>
              </w:rPr>
            </w:pPr>
            <w:r w:rsidRPr="002B2C94">
              <w:rPr>
                <w:rFonts w:ascii="Arial" w:hAnsi="Arial" w:cs="Arial"/>
                <w:b/>
                <w:color w:val="000000"/>
                <w:sz w:val="22"/>
                <w:szCs w:val="22"/>
              </w:rPr>
              <w:t>Total Council Reserves and Balances</w:t>
            </w:r>
          </w:p>
        </w:tc>
        <w:tc>
          <w:tcPr>
            <w:tcW w:w="1593" w:type="dxa"/>
            <w:tcBorders>
              <w:top w:val="single" w:sz="2" w:space="0" w:color="000000"/>
              <w:left w:val="single" w:sz="2" w:space="0" w:color="000000"/>
              <w:bottom w:val="single" w:sz="2" w:space="0" w:color="000000"/>
              <w:right w:val="single" w:sz="2" w:space="0" w:color="000000"/>
            </w:tcBorders>
          </w:tcPr>
          <w:p w:rsidR="005C2022" w:rsidRPr="002B2C94" w:rsidRDefault="005C2022" w:rsidP="005F5307">
            <w:pPr>
              <w:pStyle w:val="Default"/>
              <w:jc w:val="right"/>
              <w:rPr>
                <w:rFonts w:ascii="Arial" w:hAnsi="Arial" w:cs="Arial"/>
                <w:b/>
                <w:sz w:val="22"/>
                <w:szCs w:val="22"/>
              </w:rPr>
            </w:pPr>
            <w:r>
              <w:rPr>
                <w:rFonts w:ascii="Arial" w:hAnsi="Arial" w:cs="Arial"/>
                <w:b/>
                <w:sz w:val="22"/>
                <w:szCs w:val="22"/>
              </w:rPr>
              <w:t>62,126</w:t>
            </w:r>
          </w:p>
        </w:tc>
        <w:tc>
          <w:tcPr>
            <w:tcW w:w="1417" w:type="dxa"/>
            <w:tcBorders>
              <w:top w:val="single" w:sz="2" w:space="0" w:color="000000"/>
              <w:left w:val="single" w:sz="2" w:space="0" w:color="000000"/>
              <w:bottom w:val="single" w:sz="2" w:space="0" w:color="000000"/>
              <w:right w:val="single" w:sz="2" w:space="0" w:color="000000"/>
            </w:tcBorders>
          </w:tcPr>
          <w:p w:rsidR="005C2022" w:rsidRPr="002B2C94" w:rsidRDefault="005C2022" w:rsidP="005F5307">
            <w:pPr>
              <w:pStyle w:val="Default"/>
              <w:spacing w:after="200" w:line="276" w:lineRule="auto"/>
              <w:jc w:val="right"/>
              <w:rPr>
                <w:rFonts w:ascii="Arial" w:hAnsi="Arial" w:cs="Arial"/>
                <w:b/>
                <w:sz w:val="22"/>
                <w:szCs w:val="22"/>
              </w:rPr>
            </w:pPr>
            <w:r>
              <w:rPr>
                <w:rFonts w:ascii="Arial" w:hAnsi="Arial" w:cs="Arial"/>
                <w:b/>
                <w:sz w:val="22"/>
                <w:szCs w:val="22"/>
              </w:rPr>
              <w:t>48,970</w:t>
            </w:r>
          </w:p>
        </w:tc>
        <w:tc>
          <w:tcPr>
            <w:tcW w:w="1417" w:type="dxa"/>
            <w:tcBorders>
              <w:top w:val="single" w:sz="2" w:space="0" w:color="000000"/>
              <w:left w:val="single" w:sz="2" w:space="0" w:color="000000"/>
              <w:bottom w:val="single" w:sz="2" w:space="0" w:color="000000"/>
              <w:right w:val="single" w:sz="2" w:space="0" w:color="000000"/>
            </w:tcBorders>
          </w:tcPr>
          <w:p w:rsidR="005C2022" w:rsidRPr="002B2C94" w:rsidRDefault="005C2022" w:rsidP="005F5307">
            <w:pPr>
              <w:pStyle w:val="Default"/>
              <w:spacing w:after="200" w:line="276" w:lineRule="auto"/>
              <w:jc w:val="right"/>
              <w:rPr>
                <w:rFonts w:ascii="Arial" w:hAnsi="Arial" w:cs="Arial"/>
                <w:b/>
                <w:color w:val="000000"/>
                <w:sz w:val="22"/>
                <w:szCs w:val="22"/>
              </w:rPr>
            </w:pPr>
            <w:r>
              <w:rPr>
                <w:rFonts w:ascii="Arial" w:hAnsi="Arial" w:cs="Arial"/>
                <w:b/>
                <w:color w:val="000000"/>
                <w:sz w:val="22"/>
                <w:szCs w:val="22"/>
              </w:rPr>
              <w:t>25,143</w:t>
            </w:r>
          </w:p>
        </w:tc>
      </w:tr>
    </w:tbl>
    <w:p w:rsidR="005C2022" w:rsidRDefault="005C2022" w:rsidP="005C2022">
      <w:pPr>
        <w:pStyle w:val="Default"/>
        <w:ind w:left="540" w:hanging="540"/>
        <w:rPr>
          <w:rFonts w:ascii="Arial" w:hAnsi="Arial"/>
          <w:b/>
          <w:color w:val="000000"/>
        </w:rPr>
      </w:pPr>
    </w:p>
    <w:p w:rsidR="005C2022" w:rsidRDefault="005C2022" w:rsidP="005C2022">
      <w:pPr>
        <w:pStyle w:val="Default"/>
        <w:ind w:left="540" w:hanging="540"/>
        <w:rPr>
          <w:rFonts w:ascii="Arial" w:hAnsi="Arial"/>
          <w:b/>
          <w:color w:val="000000"/>
        </w:rPr>
      </w:pPr>
    </w:p>
    <w:p w:rsidR="005C2022" w:rsidRDefault="005C2022" w:rsidP="005C2022">
      <w:pPr>
        <w:pStyle w:val="Default"/>
      </w:pPr>
      <w:r>
        <w:rPr>
          <w:rFonts w:ascii="Arial" w:hAnsi="Arial"/>
          <w:b/>
          <w:color w:val="000000"/>
        </w:rPr>
        <w:t>General Fund Earmarked Reserves</w:t>
      </w:r>
    </w:p>
    <w:p w:rsidR="005C2022" w:rsidRDefault="005C2022" w:rsidP="00FE5A63"/>
    <w:p w:rsidR="005C2022" w:rsidRDefault="005C2022" w:rsidP="005C2022">
      <w:pPr>
        <w:tabs>
          <w:tab w:val="left" w:pos="567"/>
        </w:tabs>
        <w:ind w:left="567" w:hanging="567"/>
      </w:pPr>
      <w:r>
        <w:t>1</w:t>
      </w:r>
      <w:r>
        <w:tab/>
        <w:t>The Salix Energy Projects reserve created from a grant made available via Salix. The fund is used to loan money to Service Areas within Oxford City Council. Services then utilise these funds to implement energy efficient schemes. Savings on energy costs are then used to repay the initial loan.</w:t>
      </w:r>
    </w:p>
    <w:p w:rsidR="005C2022" w:rsidRDefault="005C2022" w:rsidP="005C2022">
      <w:pPr>
        <w:tabs>
          <w:tab w:val="left" w:pos="567"/>
        </w:tabs>
        <w:ind w:left="567" w:hanging="567"/>
      </w:pPr>
      <w:r>
        <w:t>2</w:t>
      </w:r>
      <w:r>
        <w:tab/>
        <w:t>Barton – The balance of a Housing Communities Agency grant to fund set up costs in relation to the joint venture with Grosvenor for the development of housing at Barton.</w:t>
      </w:r>
    </w:p>
    <w:p w:rsidR="005C2022" w:rsidRPr="00501BCB" w:rsidRDefault="005C2022" w:rsidP="005C2022">
      <w:pPr>
        <w:tabs>
          <w:tab w:val="left" w:pos="567"/>
        </w:tabs>
        <w:ind w:left="567" w:hanging="567"/>
      </w:pPr>
      <w:r>
        <w:t>3</w:t>
      </w:r>
      <w:r>
        <w:tab/>
      </w:r>
      <w:r w:rsidRPr="00EC488A">
        <w:t>Oxford Strategic Partnershi</w:t>
      </w:r>
      <w:bookmarkStart w:id="0" w:name="_GoBack"/>
      <w:bookmarkEnd w:id="0"/>
      <w:r w:rsidRPr="00EC488A">
        <w:t>p – balance of Local Area Agreement</w:t>
      </w:r>
      <w:r w:rsidRPr="00904899">
        <w:t xml:space="preserve"> / Breaking </w:t>
      </w:r>
      <w:r w:rsidRPr="00501BCB">
        <w:t>cycle of deprivation funding received</w:t>
      </w:r>
      <w:r>
        <w:t>.</w:t>
      </w:r>
      <w:r w:rsidRPr="00501BCB">
        <w:t xml:space="preserve">  </w:t>
      </w:r>
    </w:p>
    <w:p w:rsidR="005C2022" w:rsidRDefault="005C2022" w:rsidP="005C2022">
      <w:pPr>
        <w:tabs>
          <w:tab w:val="left" w:pos="567"/>
        </w:tabs>
        <w:ind w:left="567" w:hanging="567"/>
      </w:pPr>
      <w:r w:rsidRPr="00501BCB">
        <w:t>4</w:t>
      </w:r>
      <w:r w:rsidRPr="00501BCB">
        <w:tab/>
        <w:t>Economic Development Reserve</w:t>
      </w:r>
      <w:r>
        <w:t xml:space="preserve"> – remaining balance of unspent budgets relating to City Deal</w:t>
      </w:r>
    </w:p>
    <w:p w:rsidR="005C2022" w:rsidRDefault="005C2022" w:rsidP="005C2022">
      <w:pPr>
        <w:tabs>
          <w:tab w:val="left" w:pos="567"/>
        </w:tabs>
        <w:ind w:left="567" w:hanging="567"/>
        <w:rPr>
          <w:rFonts w:cs="Arial"/>
        </w:rPr>
      </w:pPr>
      <w:r>
        <w:t>5</w:t>
      </w:r>
      <w:r>
        <w:tab/>
      </w:r>
      <w:r w:rsidRPr="00EC488A">
        <w:t>Improvement Efficiency Social</w:t>
      </w:r>
      <w:r w:rsidRPr="00DD5C3F">
        <w:t xml:space="preserve"> </w:t>
      </w:r>
      <w:r>
        <w:t xml:space="preserve">Enterprise </w:t>
      </w:r>
      <w:r w:rsidRPr="00DD5C3F">
        <w:t xml:space="preserve">Grant Reserve </w:t>
      </w:r>
      <w:r>
        <w:t>– remaining</w:t>
      </w:r>
      <w:r w:rsidRPr="00DD5C3F">
        <w:t xml:space="preserve"> </w:t>
      </w:r>
      <w:r>
        <w:t xml:space="preserve">balance of grant allocation from the </w:t>
      </w:r>
      <w:r w:rsidRPr="00DD5C3F">
        <w:rPr>
          <w:rFonts w:cs="Arial"/>
        </w:rPr>
        <w:t xml:space="preserve">Improvement </w:t>
      </w:r>
      <w:r>
        <w:rPr>
          <w:rFonts w:cs="Arial"/>
        </w:rPr>
        <w:t>and Efficiency Social Enterprise for Oxfordshire Procurement Hub.</w:t>
      </w:r>
    </w:p>
    <w:p w:rsidR="005C2022" w:rsidRDefault="005C2022" w:rsidP="005C2022">
      <w:pPr>
        <w:tabs>
          <w:tab w:val="left" w:pos="567"/>
        </w:tabs>
        <w:ind w:left="567" w:hanging="567"/>
      </w:pPr>
      <w:r>
        <w:t>6</w:t>
      </w:r>
      <w:r>
        <w:tab/>
        <w:t>The Taxis A/C reserve was created to manage the ring fenced taxi licensing cost centre. Surplus / deficits associated with this cost centre are collected and the balance is used to improve and / or address pressures within the Taxi Licensing area.</w:t>
      </w:r>
    </w:p>
    <w:p w:rsidR="005C2022" w:rsidRPr="00EC488A" w:rsidRDefault="005C2022" w:rsidP="005C2022">
      <w:pPr>
        <w:tabs>
          <w:tab w:val="left" w:pos="567"/>
        </w:tabs>
        <w:ind w:left="567" w:hanging="567"/>
      </w:pPr>
      <w:r>
        <w:t>7</w:t>
      </w:r>
      <w:r>
        <w:tab/>
        <w:t xml:space="preserve">A reserve established under accounting convention to accumulated all unspent balances of grants received in the year pending their spend on projects including Oxfordshire Sports Partnership, Homelessness, </w:t>
      </w:r>
      <w:r w:rsidRPr="00EC488A">
        <w:t>Community Safety and flood prevention.</w:t>
      </w:r>
    </w:p>
    <w:p w:rsidR="005C2022" w:rsidRDefault="005C2022" w:rsidP="005C2022">
      <w:pPr>
        <w:tabs>
          <w:tab w:val="left" w:pos="567"/>
        </w:tabs>
        <w:ind w:left="567" w:hanging="567"/>
      </w:pPr>
      <w:r w:rsidRPr="00EC488A">
        <w:t>8</w:t>
      </w:r>
      <w:r w:rsidRPr="00EC488A">
        <w:tab/>
        <w:t>Houses in Multiple Occupation</w:t>
      </w:r>
      <w:r>
        <w:t xml:space="preserve"> Licensing Reserve – </w:t>
      </w:r>
      <w:proofErr w:type="spellStart"/>
      <w:r>
        <w:t>Ringfenced</w:t>
      </w:r>
      <w:proofErr w:type="spellEnd"/>
      <w:r>
        <w:t xml:space="preserve"> licensing income in respect of </w:t>
      </w:r>
      <w:proofErr w:type="gramStart"/>
      <w:r>
        <w:t>HMO’s</w:t>
      </w:r>
      <w:proofErr w:type="gramEnd"/>
      <w:r>
        <w:t xml:space="preserve"> to fund future service area expenditure. </w:t>
      </w:r>
    </w:p>
    <w:p w:rsidR="005C2022" w:rsidRDefault="005C2022" w:rsidP="005C2022">
      <w:pPr>
        <w:tabs>
          <w:tab w:val="left" w:pos="567"/>
        </w:tabs>
        <w:ind w:left="567" w:hanging="567"/>
      </w:pPr>
      <w:r>
        <w:t>10</w:t>
      </w:r>
      <w:r>
        <w:tab/>
      </w:r>
      <w:r w:rsidRPr="004C3C0F">
        <w:t xml:space="preserve">General Licensing </w:t>
      </w:r>
      <w:r>
        <w:t>R</w:t>
      </w:r>
      <w:r w:rsidRPr="004C3C0F">
        <w:t>eserve – net surplus on the administration of licences</w:t>
      </w:r>
    </w:p>
    <w:p w:rsidR="005C2022" w:rsidRDefault="005C2022" w:rsidP="005C2022">
      <w:pPr>
        <w:tabs>
          <w:tab w:val="left" w:pos="567"/>
        </w:tabs>
        <w:ind w:left="567" w:hanging="567"/>
      </w:pPr>
      <w:r>
        <w:t>12</w:t>
      </w:r>
      <w:r>
        <w:tab/>
        <w:t xml:space="preserve">The Town Hall Equipment Reserve is used to fund new / replacement or repair of Town Hall equipment. The balance represents the net surplus of this cost centre year on year. </w:t>
      </w:r>
    </w:p>
    <w:p w:rsidR="005C2022" w:rsidRDefault="005C2022" w:rsidP="005C2022">
      <w:pPr>
        <w:tabs>
          <w:tab w:val="left" w:pos="567"/>
        </w:tabs>
        <w:ind w:left="567" w:hanging="567"/>
      </w:pPr>
      <w:r>
        <w:t>13</w:t>
      </w:r>
      <w:r>
        <w:tab/>
        <w:t>The Work of Art Reserve - created to aid the purchase or restoration of Council works of art.</w:t>
      </w:r>
    </w:p>
    <w:p w:rsidR="005C2022" w:rsidRDefault="005C2022" w:rsidP="005C2022">
      <w:pPr>
        <w:tabs>
          <w:tab w:val="left" w:pos="567"/>
        </w:tabs>
        <w:ind w:left="567" w:hanging="567"/>
      </w:pPr>
      <w:r>
        <w:t>14</w:t>
      </w:r>
      <w:r>
        <w:tab/>
        <w:t xml:space="preserve">The </w:t>
      </w:r>
      <w:proofErr w:type="spellStart"/>
      <w:r>
        <w:t>Shopmobility</w:t>
      </w:r>
      <w:proofErr w:type="spellEnd"/>
      <w:r>
        <w:t xml:space="preserve"> Reserve - created to fund replacement or repair of </w:t>
      </w:r>
      <w:proofErr w:type="spellStart"/>
      <w:r>
        <w:t>Shopmobility</w:t>
      </w:r>
      <w:proofErr w:type="spellEnd"/>
      <w:r>
        <w:t xml:space="preserve"> equipment. Any under or overspend associated with the service is collected in this reserve account.</w:t>
      </w:r>
    </w:p>
    <w:p w:rsidR="005C2022" w:rsidRDefault="005C2022" w:rsidP="005C2022">
      <w:pPr>
        <w:tabs>
          <w:tab w:val="left" w:pos="567"/>
        </w:tabs>
        <w:ind w:left="567" w:hanging="567"/>
      </w:pPr>
      <w:r>
        <w:t xml:space="preserve">15 </w:t>
      </w:r>
      <w:r>
        <w:tab/>
        <w:t xml:space="preserve">Severance Reserve - created to cover any unexpected pressures related to employee costs </w:t>
      </w:r>
      <w:proofErr w:type="spellStart"/>
      <w:r>
        <w:t>e.g</w:t>
      </w:r>
      <w:proofErr w:type="spellEnd"/>
      <w:r>
        <w:t xml:space="preserve"> compensation for loss of office.</w:t>
      </w:r>
    </w:p>
    <w:p w:rsidR="005C2022" w:rsidRDefault="005C2022" w:rsidP="005C2022">
      <w:pPr>
        <w:tabs>
          <w:tab w:val="left" w:pos="567"/>
        </w:tabs>
        <w:ind w:left="567" w:hanging="567"/>
      </w:pPr>
      <w:r>
        <w:t>16</w:t>
      </w:r>
      <w:r>
        <w:tab/>
        <w:t>The IT Infrastructure Reserve is used to fund IT Infrastructure replacement across the Council.</w:t>
      </w:r>
    </w:p>
    <w:p w:rsidR="005C2022" w:rsidRDefault="005C2022" w:rsidP="005C2022">
      <w:pPr>
        <w:tabs>
          <w:tab w:val="left" w:pos="567"/>
        </w:tabs>
        <w:ind w:left="567" w:hanging="567"/>
      </w:pPr>
      <w:r>
        <w:t>18</w:t>
      </w:r>
      <w:r>
        <w:tab/>
        <w:t xml:space="preserve">Leisure repairs and maintenance – established to fund repairs and refurb of leisure centres. </w:t>
      </w:r>
    </w:p>
    <w:p w:rsidR="005C2022" w:rsidRDefault="005C2022" w:rsidP="005C2022">
      <w:pPr>
        <w:tabs>
          <w:tab w:val="left" w:pos="567"/>
        </w:tabs>
        <w:ind w:left="567" w:hanging="567"/>
      </w:pPr>
      <w:r>
        <w:t xml:space="preserve">19 </w:t>
      </w:r>
      <w:r>
        <w:tab/>
        <w:t xml:space="preserve">The Business Transformation Reserve is a transitory account. At the </w:t>
      </w:r>
      <w:proofErr w:type="spellStart"/>
      <w:r>
        <w:t>year end</w:t>
      </w:r>
      <w:proofErr w:type="spellEnd"/>
      <w:r>
        <w:t xml:space="preserve"> budgets associated with transformation projects not yet completed are transferred to this reserve. At the start of the following year projects are approved to continue and the funds allocated back to the projects.</w:t>
      </w:r>
    </w:p>
    <w:p w:rsidR="005C2022" w:rsidRDefault="005C2022" w:rsidP="005C2022">
      <w:pPr>
        <w:tabs>
          <w:tab w:val="left" w:pos="567"/>
        </w:tabs>
        <w:ind w:left="567" w:hanging="567"/>
      </w:pPr>
      <w:r>
        <w:t>20</w:t>
      </w:r>
      <w:r w:rsidR="00FE5A63">
        <w:tab/>
      </w:r>
      <w:r>
        <w:t>The City Council Elections reserve is created from the budget surplus / deficit on the City Council Elections cost centre. City elections are held every 2 years and this reserve is used to fund additional costs in election year.</w:t>
      </w:r>
    </w:p>
    <w:p w:rsidR="005C2022" w:rsidRPr="00FD29C5" w:rsidRDefault="005C2022" w:rsidP="005C2022">
      <w:pPr>
        <w:tabs>
          <w:tab w:val="left" w:pos="567"/>
        </w:tabs>
        <w:ind w:left="567" w:hanging="567"/>
      </w:pPr>
      <w:r w:rsidRPr="00FD29C5">
        <w:t>21</w:t>
      </w:r>
      <w:r w:rsidRPr="00FD29C5">
        <w:tab/>
        <w:t>Chief Executives Fund – used for initiatives put forward by Chief Exec</w:t>
      </w:r>
    </w:p>
    <w:p w:rsidR="005C2022" w:rsidRDefault="005C2022" w:rsidP="005C2022">
      <w:pPr>
        <w:tabs>
          <w:tab w:val="left" w:pos="567"/>
        </w:tabs>
        <w:ind w:left="567" w:hanging="567"/>
      </w:pPr>
      <w:r w:rsidRPr="00FD29C5">
        <w:t>22</w:t>
      </w:r>
      <w:r w:rsidRPr="00FD29C5">
        <w:tab/>
        <w:t>Indirect Property Fund –</w:t>
      </w:r>
      <w:r>
        <w:t xml:space="preserve"> To fund any shortfall in the value of indirect property funds</w:t>
      </w:r>
    </w:p>
    <w:p w:rsidR="005C2022" w:rsidRPr="00897D22" w:rsidRDefault="005C2022" w:rsidP="005C2022">
      <w:pPr>
        <w:tabs>
          <w:tab w:val="left" w:pos="567"/>
        </w:tabs>
        <w:ind w:left="567" w:hanging="567"/>
      </w:pPr>
      <w:r w:rsidRPr="00897D22">
        <w:t>23</w:t>
      </w:r>
      <w:r w:rsidRPr="00897D22">
        <w:tab/>
        <w:t>Capital Funding Reserve – created to fund capital expenditure.</w:t>
      </w:r>
    </w:p>
    <w:p w:rsidR="005C2022" w:rsidRPr="00897D22" w:rsidRDefault="005C2022" w:rsidP="005C2022">
      <w:pPr>
        <w:tabs>
          <w:tab w:val="left" w:pos="567"/>
        </w:tabs>
        <w:ind w:left="567" w:hanging="567"/>
      </w:pPr>
      <w:r w:rsidRPr="00897D22">
        <w:t>25</w:t>
      </w:r>
      <w:r w:rsidRPr="00897D22">
        <w:tab/>
      </w:r>
      <w:proofErr w:type="spellStart"/>
      <w:r w:rsidRPr="00897D22">
        <w:t>Agresso</w:t>
      </w:r>
      <w:proofErr w:type="spellEnd"/>
      <w:r w:rsidRPr="00897D22">
        <w:t xml:space="preserve"> Improvement Reserve – used to fund the implementation of modules on the Financial Management system</w:t>
      </w:r>
    </w:p>
    <w:p w:rsidR="005C2022" w:rsidRDefault="005C2022" w:rsidP="005C2022">
      <w:pPr>
        <w:tabs>
          <w:tab w:val="left" w:pos="567"/>
        </w:tabs>
        <w:ind w:left="567" w:hanging="567"/>
      </w:pPr>
      <w:r w:rsidRPr="00897D22">
        <w:t>26</w:t>
      </w:r>
      <w:r w:rsidRPr="00897D22">
        <w:tab/>
        <w:t>Museum Development Reserve –</w:t>
      </w:r>
      <w:r>
        <w:t xml:space="preserve"> Funding to support the future development of the museum</w:t>
      </w:r>
    </w:p>
    <w:p w:rsidR="005C2022" w:rsidRDefault="005C2022" w:rsidP="005C2022">
      <w:pPr>
        <w:tabs>
          <w:tab w:val="left" w:pos="567"/>
        </w:tabs>
        <w:ind w:left="567" w:hanging="567"/>
      </w:pPr>
      <w:r>
        <w:t>27</w:t>
      </w:r>
      <w:r>
        <w:tab/>
        <w:t>Disabled Community Transport – to fund community transport for elderly persons</w:t>
      </w:r>
    </w:p>
    <w:p w:rsidR="005C2022" w:rsidRDefault="005C2022" w:rsidP="005C2022">
      <w:pPr>
        <w:tabs>
          <w:tab w:val="left" w:pos="567"/>
        </w:tabs>
        <w:ind w:left="567" w:hanging="567"/>
      </w:pPr>
      <w:r>
        <w:t>29</w:t>
      </w:r>
      <w:r>
        <w:tab/>
      </w:r>
      <w:proofErr w:type="spellStart"/>
      <w:r>
        <w:t>Oxfutures</w:t>
      </w:r>
      <w:proofErr w:type="spellEnd"/>
      <w:r>
        <w:t xml:space="preserve"> Reserve – to cover potential liabilities around the </w:t>
      </w:r>
      <w:proofErr w:type="spellStart"/>
      <w:r>
        <w:t>Oxfutures</w:t>
      </w:r>
      <w:proofErr w:type="spellEnd"/>
      <w:r>
        <w:t xml:space="preserve"> EU Grant</w:t>
      </w:r>
    </w:p>
    <w:p w:rsidR="005C2022" w:rsidRDefault="005C2022" w:rsidP="005C2022">
      <w:pPr>
        <w:tabs>
          <w:tab w:val="left" w:pos="567"/>
        </w:tabs>
        <w:ind w:left="567" w:hanging="567"/>
      </w:pPr>
      <w:r>
        <w:t>31</w:t>
      </w:r>
      <w:r>
        <w:tab/>
        <w:t>Homelessness – unspent budget and grant monies associated with homelessness.</w:t>
      </w:r>
    </w:p>
    <w:p w:rsidR="005C2022" w:rsidRPr="004C3C0F" w:rsidRDefault="005C2022" w:rsidP="005C2022">
      <w:pPr>
        <w:tabs>
          <w:tab w:val="left" w:pos="567"/>
        </w:tabs>
        <w:ind w:left="567" w:hanging="567"/>
        <w:rPr>
          <w:rFonts w:cs="Arial"/>
          <w:highlight w:val="yellow"/>
        </w:rPr>
      </w:pPr>
      <w:r w:rsidRPr="004C3C0F">
        <w:rPr>
          <w:rFonts w:cs="Arial"/>
        </w:rPr>
        <w:t>33</w:t>
      </w:r>
      <w:r w:rsidRPr="004C3C0F">
        <w:rPr>
          <w:rFonts w:cs="Arial"/>
        </w:rPr>
        <w:tab/>
      </w:r>
      <w:r w:rsidRPr="00860FB7">
        <w:rPr>
          <w:rFonts w:cs="Arial"/>
        </w:rPr>
        <w:t xml:space="preserve">Lord Mayors Deposit </w:t>
      </w:r>
      <w:r>
        <w:rPr>
          <w:rFonts w:cs="Arial"/>
        </w:rPr>
        <w:t>S</w:t>
      </w:r>
      <w:r w:rsidRPr="00860FB7">
        <w:rPr>
          <w:rFonts w:cs="Arial"/>
        </w:rPr>
        <w:t xml:space="preserve">cheme to help people on a low income </w:t>
      </w:r>
      <w:proofErr w:type="gramStart"/>
      <w:r w:rsidRPr="00860FB7">
        <w:rPr>
          <w:rFonts w:cs="Arial"/>
        </w:rPr>
        <w:t>afford</w:t>
      </w:r>
      <w:proofErr w:type="gramEnd"/>
      <w:r w:rsidRPr="00860FB7">
        <w:rPr>
          <w:rFonts w:cs="Arial"/>
        </w:rPr>
        <w:t xml:space="preserve"> to move into private rented accommodation by issuing a Deposit Guarantee</w:t>
      </w:r>
      <w:r>
        <w:rPr>
          <w:rFonts w:cs="Arial"/>
        </w:rPr>
        <w:t xml:space="preserve"> Bond to</w:t>
      </w:r>
      <w:r w:rsidRPr="00860FB7">
        <w:rPr>
          <w:rFonts w:cs="Arial"/>
        </w:rPr>
        <w:t xml:space="preserve"> landlord</w:t>
      </w:r>
      <w:r>
        <w:rPr>
          <w:rFonts w:cs="Arial"/>
        </w:rPr>
        <w:t>s</w:t>
      </w:r>
      <w:r w:rsidRPr="00860FB7">
        <w:rPr>
          <w:rFonts w:cs="Arial"/>
        </w:rPr>
        <w:t>.</w:t>
      </w:r>
    </w:p>
    <w:p w:rsidR="005C2022" w:rsidRDefault="005C2022" w:rsidP="005C2022">
      <w:pPr>
        <w:tabs>
          <w:tab w:val="left" w:pos="567"/>
        </w:tabs>
        <w:ind w:left="567" w:hanging="567"/>
        <w:rPr>
          <w:rFonts w:cs="Arial"/>
        </w:rPr>
      </w:pPr>
      <w:r w:rsidRPr="00D41EC8">
        <w:rPr>
          <w:rFonts w:cs="Arial"/>
        </w:rPr>
        <w:t>34</w:t>
      </w:r>
      <w:r w:rsidRPr="00D41EC8">
        <w:rPr>
          <w:rFonts w:cs="Arial"/>
        </w:rPr>
        <w:tab/>
        <w:t>Homes</w:t>
      </w:r>
      <w:r w:rsidRPr="00904899">
        <w:rPr>
          <w:rFonts w:cs="Arial"/>
        </w:rPr>
        <w:t xml:space="preserve"> Choice </w:t>
      </w:r>
      <w:r>
        <w:rPr>
          <w:rFonts w:cs="Arial"/>
        </w:rPr>
        <w:t>F</w:t>
      </w:r>
      <w:r w:rsidRPr="00904899">
        <w:rPr>
          <w:rFonts w:cs="Arial"/>
        </w:rPr>
        <w:t>unds – needed as top-up for bonds/deposits re Private Sector properties.</w:t>
      </w:r>
    </w:p>
    <w:p w:rsidR="005C2022" w:rsidRPr="004C3C0F" w:rsidRDefault="005C2022" w:rsidP="005C2022">
      <w:pPr>
        <w:tabs>
          <w:tab w:val="left" w:pos="567"/>
        </w:tabs>
        <w:ind w:left="567" w:hanging="567"/>
        <w:rPr>
          <w:rFonts w:cs="Arial"/>
        </w:rPr>
      </w:pPr>
      <w:r>
        <w:rPr>
          <w:rFonts w:cs="Arial"/>
        </w:rPr>
        <w:t>35</w:t>
      </w:r>
      <w:r>
        <w:rPr>
          <w:rFonts w:cs="Arial"/>
        </w:rPr>
        <w:tab/>
        <w:t xml:space="preserve">Dry </w:t>
      </w:r>
      <w:proofErr w:type="spellStart"/>
      <w:r>
        <w:rPr>
          <w:rFonts w:cs="Arial"/>
        </w:rPr>
        <w:t>Recyclate</w:t>
      </w:r>
      <w:proofErr w:type="spellEnd"/>
      <w:r>
        <w:rPr>
          <w:rFonts w:cs="Arial"/>
        </w:rPr>
        <w:t xml:space="preserve"> Reserve – Reserve to cover the cost of funding a waste transfer station included within the Councils Capital Programme</w:t>
      </w:r>
    </w:p>
    <w:p w:rsidR="005C2022" w:rsidRPr="00680415" w:rsidRDefault="005C2022" w:rsidP="005C2022">
      <w:pPr>
        <w:tabs>
          <w:tab w:val="left" w:pos="567"/>
        </w:tabs>
        <w:ind w:left="567" w:hanging="567"/>
        <w:rPr>
          <w:rFonts w:cs="Arial"/>
        </w:rPr>
      </w:pPr>
      <w:r w:rsidRPr="00680415">
        <w:rPr>
          <w:rFonts w:cs="Arial"/>
        </w:rPr>
        <w:t>36</w:t>
      </w:r>
      <w:r w:rsidRPr="00680415">
        <w:rPr>
          <w:rFonts w:cs="Arial"/>
        </w:rPr>
        <w:tab/>
        <w:t>Communities Partnership Fund – Used in connection with community safety schemes</w:t>
      </w:r>
    </w:p>
    <w:p w:rsidR="005C2022" w:rsidRDefault="005C2022" w:rsidP="005C2022">
      <w:pPr>
        <w:tabs>
          <w:tab w:val="left" w:pos="567"/>
        </w:tabs>
        <w:ind w:left="567" w:hanging="567"/>
        <w:rPr>
          <w:rFonts w:cs="Arial"/>
        </w:rPr>
      </w:pPr>
      <w:r w:rsidRPr="00680415">
        <w:rPr>
          <w:rFonts w:cs="Arial"/>
        </w:rPr>
        <w:t>37</w:t>
      </w:r>
      <w:r w:rsidRPr="00680415">
        <w:rPr>
          <w:rFonts w:cs="Arial"/>
        </w:rPr>
        <w:tab/>
        <w:t xml:space="preserve">Community and Neighbourhood Reserve- </w:t>
      </w:r>
      <w:proofErr w:type="gramStart"/>
      <w:r w:rsidRPr="00680415">
        <w:rPr>
          <w:rFonts w:cs="Arial"/>
        </w:rPr>
        <w:t>includes</w:t>
      </w:r>
      <w:proofErr w:type="gramEnd"/>
      <w:r w:rsidRPr="00680415">
        <w:rPr>
          <w:rFonts w:cs="Arial"/>
        </w:rPr>
        <w:t xml:space="preserve"> ring-fenced project funding for Connecting Communities, Community Actions Groups and Wood Farm Community Centre.</w:t>
      </w:r>
    </w:p>
    <w:p w:rsidR="005C2022" w:rsidRPr="00D41EC8" w:rsidRDefault="005C2022" w:rsidP="005C2022">
      <w:pPr>
        <w:tabs>
          <w:tab w:val="left" w:pos="567"/>
        </w:tabs>
        <w:ind w:left="567" w:hanging="567"/>
        <w:rPr>
          <w:rFonts w:cs="Arial"/>
        </w:rPr>
      </w:pPr>
      <w:r w:rsidRPr="00D41EC8">
        <w:rPr>
          <w:rFonts w:cs="Arial"/>
        </w:rPr>
        <w:t>38</w:t>
      </w:r>
      <w:r w:rsidRPr="00D41EC8">
        <w:rPr>
          <w:rFonts w:cs="Arial"/>
        </w:rPr>
        <w:tab/>
        <w:t xml:space="preserve">Town Team Partners- </w:t>
      </w:r>
      <w:r>
        <w:rPr>
          <w:rFonts w:cs="Arial"/>
        </w:rPr>
        <w:t xml:space="preserve">grant to improve </w:t>
      </w:r>
      <w:r w:rsidRPr="00904899">
        <w:rPr>
          <w:rFonts w:cs="Arial"/>
        </w:rPr>
        <w:t xml:space="preserve">the High Street </w:t>
      </w:r>
      <w:r>
        <w:rPr>
          <w:rFonts w:cs="Arial"/>
        </w:rPr>
        <w:t xml:space="preserve">working with Local </w:t>
      </w:r>
      <w:r w:rsidRPr="00904899">
        <w:rPr>
          <w:rFonts w:eastAsiaTheme="minorHAnsi" w:cs="Arial"/>
          <w:lang w:eastAsia="en-US"/>
        </w:rPr>
        <w:t xml:space="preserve">Businesses. </w:t>
      </w:r>
      <w:r>
        <w:rPr>
          <w:rFonts w:eastAsiaTheme="minorHAnsi" w:cs="Arial"/>
          <w:lang w:eastAsia="en-US"/>
        </w:rPr>
        <w:t>A</w:t>
      </w:r>
      <w:r w:rsidRPr="00904899">
        <w:rPr>
          <w:rFonts w:eastAsiaTheme="minorHAnsi" w:cs="Arial"/>
          <w:lang w:eastAsia="en-US"/>
        </w:rPr>
        <w:t xml:space="preserve">dditional financial support for the City Council </w:t>
      </w:r>
      <w:r>
        <w:rPr>
          <w:rFonts w:eastAsiaTheme="minorHAnsi" w:cs="Arial"/>
          <w:lang w:eastAsia="en-US"/>
        </w:rPr>
        <w:t xml:space="preserve">will be required </w:t>
      </w:r>
      <w:r w:rsidRPr="00D41EC8">
        <w:rPr>
          <w:rFonts w:eastAsiaTheme="minorHAnsi" w:cs="Arial"/>
          <w:lang w:eastAsia="en-US"/>
        </w:rPr>
        <w:t>to work up a scheme.</w:t>
      </w:r>
    </w:p>
    <w:p w:rsidR="005C2022" w:rsidRPr="004C3C0F" w:rsidRDefault="005C2022" w:rsidP="005C2022">
      <w:pPr>
        <w:tabs>
          <w:tab w:val="left" w:pos="567"/>
        </w:tabs>
        <w:ind w:left="567" w:hanging="567"/>
        <w:rPr>
          <w:rFonts w:cs="Arial"/>
        </w:rPr>
      </w:pPr>
      <w:r w:rsidRPr="004C3C0F">
        <w:rPr>
          <w:rFonts w:cs="Arial"/>
        </w:rPr>
        <w:t>40</w:t>
      </w:r>
      <w:r w:rsidRPr="004C3C0F">
        <w:rPr>
          <w:rFonts w:cs="Arial"/>
        </w:rPr>
        <w:tab/>
      </w:r>
      <w:r>
        <w:rPr>
          <w:rFonts w:cs="Arial"/>
        </w:rPr>
        <w:t>Housing Benefit reserve</w:t>
      </w:r>
      <w:r w:rsidRPr="004C3C0F">
        <w:rPr>
          <w:rFonts w:cs="Arial"/>
        </w:rPr>
        <w:t xml:space="preserve">– established to </w:t>
      </w:r>
      <w:r>
        <w:rPr>
          <w:rFonts w:cs="Arial"/>
        </w:rPr>
        <w:t>cushion the revenue account from unexpected variations in housing benefit subsidy</w:t>
      </w:r>
    </w:p>
    <w:p w:rsidR="005C2022" w:rsidRPr="004C3C0F" w:rsidRDefault="005C2022" w:rsidP="005C2022">
      <w:pPr>
        <w:tabs>
          <w:tab w:val="left" w:pos="567"/>
        </w:tabs>
        <w:ind w:left="567" w:hanging="567"/>
        <w:rPr>
          <w:rFonts w:cs="Arial"/>
        </w:rPr>
      </w:pPr>
      <w:r w:rsidRPr="004C3C0F">
        <w:rPr>
          <w:rFonts w:cs="Arial"/>
        </w:rPr>
        <w:t>41</w:t>
      </w:r>
      <w:r w:rsidRPr="004C3C0F">
        <w:rPr>
          <w:rFonts w:cs="Arial"/>
        </w:rPr>
        <w:tab/>
        <w:t xml:space="preserve">Westgate </w:t>
      </w:r>
      <w:r>
        <w:rPr>
          <w:rFonts w:cs="Arial"/>
        </w:rPr>
        <w:t>R</w:t>
      </w:r>
      <w:r w:rsidRPr="004C3C0F">
        <w:rPr>
          <w:rFonts w:cs="Arial"/>
        </w:rPr>
        <w:t xml:space="preserve">edevelopment </w:t>
      </w:r>
      <w:r>
        <w:rPr>
          <w:rFonts w:cs="Arial"/>
        </w:rPr>
        <w:t>R</w:t>
      </w:r>
      <w:r w:rsidRPr="004C3C0F">
        <w:rPr>
          <w:rFonts w:cs="Arial"/>
        </w:rPr>
        <w:t>eserve – established to fund the provision of temp</w:t>
      </w:r>
      <w:r>
        <w:rPr>
          <w:rFonts w:cs="Arial"/>
        </w:rPr>
        <w:t>or</w:t>
      </w:r>
      <w:r w:rsidRPr="004C3C0F">
        <w:rPr>
          <w:rFonts w:cs="Arial"/>
        </w:rPr>
        <w:t xml:space="preserve">ary car parking following the demolition of Westgate multi story car park in relation to the redevelopment of the Westgate </w:t>
      </w:r>
    </w:p>
    <w:p w:rsidR="005C2022" w:rsidRPr="004C3C0F" w:rsidRDefault="005C2022" w:rsidP="005C2022">
      <w:pPr>
        <w:tabs>
          <w:tab w:val="left" w:pos="567"/>
        </w:tabs>
        <w:ind w:left="567" w:hanging="567"/>
        <w:rPr>
          <w:rFonts w:cs="Arial"/>
        </w:rPr>
      </w:pPr>
      <w:r w:rsidRPr="004C3C0F">
        <w:rPr>
          <w:rFonts w:cs="Arial"/>
        </w:rPr>
        <w:t>42</w:t>
      </w:r>
      <w:r w:rsidRPr="004C3C0F">
        <w:rPr>
          <w:rFonts w:cs="Arial"/>
        </w:rPr>
        <w:tab/>
        <w:t xml:space="preserve">Emergency </w:t>
      </w:r>
      <w:r>
        <w:rPr>
          <w:rFonts w:cs="Arial"/>
        </w:rPr>
        <w:t>F</w:t>
      </w:r>
      <w:r w:rsidRPr="004C3C0F">
        <w:rPr>
          <w:rFonts w:cs="Arial"/>
        </w:rPr>
        <w:t xml:space="preserve">lood </w:t>
      </w:r>
      <w:r>
        <w:rPr>
          <w:rFonts w:cs="Arial"/>
        </w:rPr>
        <w:t>R</w:t>
      </w:r>
      <w:r w:rsidRPr="004C3C0F">
        <w:rPr>
          <w:rFonts w:cs="Arial"/>
        </w:rPr>
        <w:t xml:space="preserve">eserve – established </w:t>
      </w:r>
      <w:r>
        <w:rPr>
          <w:rFonts w:cs="Arial"/>
        </w:rPr>
        <w:t>to</w:t>
      </w:r>
      <w:r w:rsidRPr="004C3C0F">
        <w:rPr>
          <w:rFonts w:cs="Arial"/>
        </w:rPr>
        <w:t xml:space="preserve"> cover the costs of flooding in the city</w:t>
      </w:r>
    </w:p>
    <w:p w:rsidR="005C2022" w:rsidRPr="004C3C0F" w:rsidRDefault="005C2022" w:rsidP="005C2022">
      <w:pPr>
        <w:tabs>
          <w:tab w:val="left" w:pos="567"/>
        </w:tabs>
        <w:ind w:left="567" w:hanging="567"/>
        <w:rPr>
          <w:rFonts w:cs="Arial"/>
        </w:rPr>
      </w:pPr>
      <w:r w:rsidRPr="004C3C0F">
        <w:rPr>
          <w:rFonts w:cs="Arial"/>
        </w:rPr>
        <w:t>43</w:t>
      </w:r>
      <w:r w:rsidRPr="004C3C0F">
        <w:rPr>
          <w:rFonts w:cs="Arial"/>
        </w:rPr>
        <w:tab/>
        <w:t>Park and Ride maintenance – monies in respect of maintenance of park and ride car parks</w:t>
      </w:r>
    </w:p>
    <w:p w:rsidR="005C2022" w:rsidRPr="004C3C0F" w:rsidRDefault="005C2022" w:rsidP="005C2022">
      <w:pPr>
        <w:tabs>
          <w:tab w:val="left" w:pos="567"/>
        </w:tabs>
        <w:ind w:left="567" w:hanging="567"/>
        <w:rPr>
          <w:rFonts w:cs="Arial"/>
        </w:rPr>
      </w:pPr>
      <w:r w:rsidRPr="004C3C0F">
        <w:rPr>
          <w:rFonts w:cs="Arial"/>
        </w:rPr>
        <w:t>44</w:t>
      </w:r>
      <w:r w:rsidRPr="004C3C0F">
        <w:rPr>
          <w:rFonts w:cs="Arial"/>
        </w:rPr>
        <w:tab/>
        <w:t>Organisational Development Reserve – This fund was set up in to fund the Council’s Partnership Payment and support the Council’s organisational development aspirations.</w:t>
      </w:r>
    </w:p>
    <w:p w:rsidR="005C2022" w:rsidRPr="004C3C0F" w:rsidRDefault="005C2022" w:rsidP="005C2022">
      <w:pPr>
        <w:tabs>
          <w:tab w:val="left" w:pos="567"/>
        </w:tabs>
        <w:ind w:left="567" w:hanging="567"/>
        <w:rPr>
          <w:rFonts w:cs="Arial"/>
        </w:rPr>
      </w:pPr>
      <w:r w:rsidRPr="004C3C0F">
        <w:rPr>
          <w:rFonts w:cs="Arial"/>
        </w:rPr>
        <w:t>45</w:t>
      </w:r>
      <w:r w:rsidRPr="004C3C0F">
        <w:rPr>
          <w:rFonts w:cs="Arial"/>
        </w:rPr>
        <w:tab/>
        <w:t>Committed projects is a reserve relating to the carry forward unspent budgeted amounts from previous years for committed projects</w:t>
      </w:r>
    </w:p>
    <w:p w:rsidR="005C2022" w:rsidRDefault="005C2022" w:rsidP="005C2022">
      <w:pPr>
        <w:tabs>
          <w:tab w:val="left" w:pos="567"/>
        </w:tabs>
        <w:ind w:left="567" w:hanging="567"/>
      </w:pPr>
      <w:r>
        <w:t>46</w:t>
      </w:r>
      <w:r>
        <w:tab/>
        <w:t>The Self-Insurance Reserve is used to cover claim costs that are below the Council’s insurance policy excess limit. The fund was subject to actuarial review in 2012/13 and will be adjusted in line with any recommendations flowing from it</w:t>
      </w:r>
    </w:p>
    <w:p w:rsidR="005C2022" w:rsidRDefault="005C2022" w:rsidP="005C2022">
      <w:pPr>
        <w:tabs>
          <w:tab w:val="left" w:pos="567"/>
        </w:tabs>
        <w:ind w:left="567" w:hanging="567"/>
      </w:pPr>
      <w:r>
        <w:t>48</w:t>
      </w:r>
      <w:r>
        <w:tab/>
        <w:t>Severe Weather Recovery Scheme – Grant to be used in connection with costs incurred by the council arising from flooding</w:t>
      </w:r>
    </w:p>
    <w:p w:rsidR="005C2022" w:rsidRPr="004A3EBA" w:rsidRDefault="005C2022" w:rsidP="005C2022">
      <w:pPr>
        <w:tabs>
          <w:tab w:val="left" w:pos="567"/>
        </w:tabs>
        <w:ind w:left="567" w:hanging="567"/>
        <w:rPr>
          <w:rFonts w:cs="Arial"/>
        </w:rPr>
      </w:pPr>
      <w:r w:rsidRPr="009D3451">
        <w:rPr>
          <w:rFonts w:cs="Arial"/>
        </w:rPr>
        <w:t>49</w:t>
      </w:r>
      <w:r w:rsidRPr="009D3451">
        <w:rPr>
          <w:rFonts w:cs="Arial"/>
        </w:rPr>
        <w:tab/>
        <w:t>BOB MK – Oxford City Council hosts a Planning Forum funded by subscriptions</w:t>
      </w:r>
      <w:r w:rsidRPr="004A3EBA">
        <w:rPr>
          <w:rFonts w:cs="Arial"/>
        </w:rPr>
        <w:t xml:space="preserve"> received from Local Authorities in Berkshire, Oxfordshire, Buckinghamshire and Milton Keynes. The budget is ring-fenced and any surpluses in year need to be carried forward to future years.</w:t>
      </w:r>
    </w:p>
    <w:p w:rsidR="005C2022" w:rsidRPr="004A3EBA" w:rsidRDefault="005C2022" w:rsidP="005C2022">
      <w:pPr>
        <w:tabs>
          <w:tab w:val="left" w:pos="567"/>
        </w:tabs>
        <w:ind w:left="567" w:hanging="567"/>
        <w:rPr>
          <w:rFonts w:cs="Arial"/>
        </w:rPr>
      </w:pPr>
      <w:r w:rsidRPr="004A3EBA">
        <w:rPr>
          <w:rFonts w:cs="Arial"/>
        </w:rPr>
        <w:t>50</w:t>
      </w:r>
      <w:r w:rsidRPr="004A3EBA">
        <w:rPr>
          <w:rFonts w:cs="Arial"/>
        </w:rPr>
        <w:tab/>
        <w:t>NNDR Retention Reserve - Reserve created to cushion the effect on the of Business Rates appeals on the councils Retained Business Rates income</w:t>
      </w:r>
    </w:p>
    <w:p w:rsidR="005C2022" w:rsidRDefault="005C2022" w:rsidP="005C2022">
      <w:pPr>
        <w:tabs>
          <w:tab w:val="left" w:pos="567"/>
        </w:tabs>
        <w:ind w:left="567" w:hanging="567"/>
        <w:rPr>
          <w:rFonts w:cs="Arial"/>
        </w:rPr>
      </w:pPr>
      <w:r>
        <w:rPr>
          <w:rFonts w:cs="Arial"/>
        </w:rPr>
        <w:t>52</w:t>
      </w:r>
      <w:r>
        <w:rPr>
          <w:rFonts w:cs="Arial"/>
        </w:rPr>
        <w:tab/>
        <w:t>Commuted sums – sums received from developers to fund revenue maintenance works</w:t>
      </w:r>
    </w:p>
    <w:p w:rsidR="005C2022" w:rsidRDefault="005C2022" w:rsidP="005C2022">
      <w:pPr>
        <w:tabs>
          <w:tab w:val="left" w:pos="567"/>
        </w:tabs>
        <w:ind w:left="567" w:hanging="567"/>
        <w:rPr>
          <w:rFonts w:cs="Arial"/>
        </w:rPr>
      </w:pPr>
      <w:r>
        <w:rPr>
          <w:rFonts w:cs="Arial"/>
        </w:rPr>
        <w:t>53</w:t>
      </w:r>
      <w:r>
        <w:rPr>
          <w:rFonts w:cs="Arial"/>
        </w:rPr>
        <w:tab/>
        <w:t xml:space="preserve">Legal fees – balance of budget for central legal fees fund </w:t>
      </w:r>
    </w:p>
    <w:p w:rsidR="005C2022" w:rsidRDefault="005C2022" w:rsidP="005C2022">
      <w:pPr>
        <w:tabs>
          <w:tab w:val="left" w:pos="567"/>
        </w:tabs>
        <w:ind w:left="567" w:hanging="567"/>
        <w:rPr>
          <w:rFonts w:cs="Arial"/>
        </w:rPr>
      </w:pPr>
      <w:r>
        <w:rPr>
          <w:rFonts w:cs="Arial"/>
        </w:rPr>
        <w:t>54</w:t>
      </w:r>
      <w:r>
        <w:rPr>
          <w:rFonts w:cs="Arial"/>
        </w:rPr>
        <w:tab/>
        <w:t xml:space="preserve">Blue bin league – External monies received to promote recycling </w:t>
      </w:r>
    </w:p>
    <w:p w:rsidR="005C2022" w:rsidRDefault="005C2022" w:rsidP="005C2022">
      <w:pPr>
        <w:tabs>
          <w:tab w:val="left" w:pos="567"/>
        </w:tabs>
        <w:ind w:left="567" w:hanging="567"/>
        <w:rPr>
          <w:rFonts w:cs="Arial"/>
        </w:rPr>
      </w:pPr>
      <w:r>
        <w:rPr>
          <w:rFonts w:cs="Arial"/>
        </w:rPr>
        <w:t>55</w:t>
      </w:r>
      <w:r>
        <w:rPr>
          <w:rFonts w:cs="Arial"/>
        </w:rPr>
        <w:tab/>
        <w:t xml:space="preserve">Pear Tree </w:t>
      </w:r>
      <w:proofErr w:type="gramStart"/>
      <w:r>
        <w:rPr>
          <w:rFonts w:cs="Arial"/>
        </w:rPr>
        <w:t>park</w:t>
      </w:r>
      <w:proofErr w:type="gramEnd"/>
      <w:r>
        <w:rPr>
          <w:rFonts w:cs="Arial"/>
        </w:rPr>
        <w:t xml:space="preserve"> and ride – to cover outstanding permit claim re Pear Tree Park and Ride</w:t>
      </w:r>
    </w:p>
    <w:p w:rsidR="005C2022" w:rsidRDefault="005C2022" w:rsidP="005C2022">
      <w:pPr>
        <w:tabs>
          <w:tab w:val="left" w:pos="567"/>
        </w:tabs>
        <w:ind w:left="567" w:hanging="567"/>
        <w:rPr>
          <w:rFonts w:cs="Arial"/>
        </w:rPr>
      </w:pPr>
      <w:r>
        <w:rPr>
          <w:rFonts w:cs="Arial"/>
        </w:rPr>
        <w:t>56</w:t>
      </w:r>
      <w:r>
        <w:rPr>
          <w:rFonts w:cs="Arial"/>
        </w:rPr>
        <w:tab/>
        <w:t>Housing Needs Reserve –Balance of Community Housing Fund to cover payments to Community First</w:t>
      </w:r>
    </w:p>
    <w:p w:rsidR="005C2022" w:rsidRDefault="005C2022" w:rsidP="005C2022">
      <w:pPr>
        <w:tabs>
          <w:tab w:val="left" w:pos="567"/>
        </w:tabs>
        <w:ind w:left="567" w:hanging="567"/>
        <w:rPr>
          <w:rFonts w:cs="Arial"/>
        </w:rPr>
      </w:pPr>
      <w:r>
        <w:rPr>
          <w:rFonts w:cs="Arial"/>
        </w:rPr>
        <w:t>57</w:t>
      </w:r>
      <w:r>
        <w:rPr>
          <w:rFonts w:cs="Arial"/>
        </w:rPr>
        <w:tab/>
        <w:t>To cover the Councils contribution to the planning application at Grenoble Road</w:t>
      </w:r>
    </w:p>
    <w:p w:rsidR="005C2022" w:rsidRPr="004A3EBA" w:rsidRDefault="005C2022" w:rsidP="005C2022">
      <w:pPr>
        <w:tabs>
          <w:tab w:val="left" w:pos="567"/>
        </w:tabs>
        <w:ind w:left="567" w:hanging="567"/>
        <w:rPr>
          <w:rFonts w:cs="Arial"/>
        </w:rPr>
      </w:pPr>
      <w:r>
        <w:rPr>
          <w:rFonts w:cs="Arial"/>
        </w:rPr>
        <w:t>58</w:t>
      </w:r>
      <w:r>
        <w:rPr>
          <w:rFonts w:cs="Arial"/>
        </w:rPr>
        <w:tab/>
        <w:t>Sinking fund for the purchase of vehicles</w:t>
      </w:r>
    </w:p>
    <w:p w:rsidR="005C2022" w:rsidRDefault="005C2022" w:rsidP="005C2022">
      <w:pPr>
        <w:tabs>
          <w:tab w:val="left" w:pos="567"/>
        </w:tabs>
      </w:pPr>
    </w:p>
    <w:p w:rsidR="005C2022" w:rsidRDefault="005C2022" w:rsidP="005C2022">
      <w:pPr>
        <w:tabs>
          <w:tab w:val="left" w:pos="567"/>
        </w:tabs>
        <w:ind w:left="567" w:hanging="567"/>
      </w:pPr>
      <w:r>
        <w:rPr>
          <w:b/>
        </w:rPr>
        <w:t xml:space="preserve">Housing Revenue Account Earmarked Reserves </w:t>
      </w:r>
    </w:p>
    <w:p w:rsidR="005C2022" w:rsidRDefault="005C2022" w:rsidP="005C2022">
      <w:pPr>
        <w:pStyle w:val="ListParagraph"/>
        <w:numPr>
          <w:ilvl w:val="0"/>
          <w:numId w:val="10"/>
        </w:numPr>
        <w:tabs>
          <w:tab w:val="left" w:pos="567"/>
        </w:tabs>
      </w:pPr>
      <w:r>
        <w:t>The IT Projects Reserve is to fund the HRA element of IT development projects</w:t>
      </w:r>
    </w:p>
    <w:p w:rsidR="005C2022" w:rsidRDefault="005C2022" w:rsidP="005C2022">
      <w:pPr>
        <w:pStyle w:val="ListParagraph"/>
        <w:numPr>
          <w:ilvl w:val="0"/>
          <w:numId w:val="10"/>
        </w:numPr>
        <w:tabs>
          <w:tab w:val="left" w:pos="567"/>
        </w:tabs>
      </w:pPr>
      <w:r>
        <w:t xml:space="preserve">The IT equipment reserve is to fund future IT equipment purchased used </w:t>
      </w:r>
      <w:r w:rsidRPr="008A0CBB">
        <w:t>specifically for HRA activity e.g. Housing Rents and Servitor job costing</w:t>
      </w:r>
    </w:p>
    <w:p w:rsidR="005C2022" w:rsidRDefault="005C2022" w:rsidP="005C2022">
      <w:pPr>
        <w:pStyle w:val="ListParagraph"/>
        <w:numPr>
          <w:ilvl w:val="0"/>
          <w:numId w:val="10"/>
        </w:numPr>
        <w:tabs>
          <w:tab w:val="left" w:pos="567"/>
        </w:tabs>
      </w:pPr>
      <w:r>
        <w:t>Capital Projects Reserve – reserve created to manage variations in the HRA capital programme</w:t>
      </w:r>
    </w:p>
    <w:p w:rsidR="005C2022" w:rsidRDefault="005C2022" w:rsidP="005C2022">
      <w:pPr>
        <w:pStyle w:val="ListParagraph"/>
        <w:numPr>
          <w:ilvl w:val="0"/>
          <w:numId w:val="10"/>
        </w:numPr>
        <w:tabs>
          <w:tab w:val="left" w:pos="567"/>
        </w:tabs>
      </w:pPr>
      <w:r>
        <w:t xml:space="preserve">Direct Payment Arrears – payment from the DWP in respect of tenant arrears arising from the direct payment project </w:t>
      </w:r>
    </w:p>
    <w:p w:rsidR="005C2022" w:rsidRDefault="005C2022" w:rsidP="005C2022">
      <w:pPr>
        <w:pStyle w:val="ListParagraph"/>
        <w:numPr>
          <w:ilvl w:val="0"/>
          <w:numId w:val="10"/>
        </w:numPr>
        <w:tabs>
          <w:tab w:val="left" w:pos="567"/>
        </w:tabs>
      </w:pPr>
      <w:r>
        <w:t>External monies received for solar panels on council house roofs</w:t>
      </w:r>
    </w:p>
    <w:p w:rsidR="005C2022" w:rsidRPr="009E51FC" w:rsidRDefault="005C2022" w:rsidP="0093067A"/>
    <w:sectPr w:rsidR="005C2022"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D9" w:rsidRDefault="00F95AD9" w:rsidP="004A6D2F">
      <w:r>
        <w:separator/>
      </w:r>
    </w:p>
  </w:endnote>
  <w:endnote w:type="continuationSeparator" w:id="0">
    <w:p w:rsidR="00F95AD9" w:rsidRDefault="00F95AD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 T 6788o 00">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D9" w:rsidRDefault="00F95AD9" w:rsidP="004A6D2F">
      <w:r>
        <w:separator/>
      </w:r>
    </w:p>
  </w:footnote>
  <w:footnote w:type="continuationSeparator" w:id="0">
    <w:p w:rsidR="00F95AD9" w:rsidRDefault="00F95AD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95AD9" w:rsidP="00D5547E">
    <w:pPr>
      <w:pStyle w:val="Header"/>
      <w:jc w:val="right"/>
    </w:pPr>
    <w:r>
      <w:rPr>
        <w:noProof/>
      </w:rPr>
      <w:drawing>
        <wp:inline distT="0" distB="0" distL="0" distR="0">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E56D90"/>
    <w:multiLevelType w:val="hybridMultilevel"/>
    <w:tmpl w:val="3E9EA5DA"/>
    <w:lvl w:ilvl="0" w:tplc="7B282802">
      <w:numFmt w:val="bullet"/>
      <w:lvlText w:val=""/>
      <w:lvlJc w:val="left"/>
      <w:pPr>
        <w:ind w:left="1689" w:hanging="555"/>
      </w:pPr>
      <w:rPr>
        <w:rFonts w:ascii="Symbol" w:eastAsiaTheme="minorHAnsi"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3E9D50D2"/>
    <w:multiLevelType w:val="hybridMultilevel"/>
    <w:tmpl w:val="BAD895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ECF26B3"/>
    <w:multiLevelType w:val="hybridMultilevel"/>
    <w:tmpl w:val="B9A47AF0"/>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1E87D6B"/>
    <w:multiLevelType w:val="hybridMultilevel"/>
    <w:tmpl w:val="00CA91A4"/>
    <w:lvl w:ilvl="0" w:tplc="7DEC69AC">
      <w:start w:val="1"/>
      <w:numFmt w:val="lowerLetter"/>
      <w:lvlText w:val="%1)"/>
      <w:lvlJc w:val="left"/>
      <w:pPr>
        <w:tabs>
          <w:tab w:val="num" w:pos="2629"/>
        </w:tabs>
        <w:ind w:left="2629" w:hanging="360"/>
      </w:pPr>
      <w:rPr>
        <w:rFonts w:ascii="Arial" w:eastAsia="Times New Roman" w:hAnsi="Arial" w:cs="Times New Roman"/>
        <w:sz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C5041F2"/>
    <w:multiLevelType w:val="hybridMultilevel"/>
    <w:tmpl w:val="355C897C"/>
    <w:lvl w:ilvl="0" w:tplc="08090005">
      <w:start w:val="1"/>
      <w:numFmt w:val="bullet"/>
      <w:lvlText w:val=""/>
      <w:lvlJc w:val="left"/>
      <w:pPr>
        <w:ind w:left="2989" w:hanging="360"/>
      </w:pPr>
      <w:rPr>
        <w:rFonts w:ascii="Wingdings" w:hAnsi="Wingdings" w:hint="default"/>
      </w:rPr>
    </w:lvl>
    <w:lvl w:ilvl="1" w:tplc="08090019" w:tentative="1">
      <w:start w:val="1"/>
      <w:numFmt w:val="lowerLetter"/>
      <w:lvlText w:val="%2."/>
      <w:lvlJc w:val="left"/>
      <w:pPr>
        <w:ind w:left="3709" w:hanging="360"/>
      </w:pPr>
    </w:lvl>
    <w:lvl w:ilvl="2" w:tplc="0809001B" w:tentative="1">
      <w:start w:val="1"/>
      <w:numFmt w:val="lowerRoman"/>
      <w:lvlText w:val="%3."/>
      <w:lvlJc w:val="right"/>
      <w:pPr>
        <w:ind w:left="4429" w:hanging="180"/>
      </w:pPr>
    </w:lvl>
    <w:lvl w:ilvl="3" w:tplc="0809000F" w:tentative="1">
      <w:start w:val="1"/>
      <w:numFmt w:val="decimal"/>
      <w:lvlText w:val="%4."/>
      <w:lvlJc w:val="left"/>
      <w:pPr>
        <w:ind w:left="5149" w:hanging="360"/>
      </w:pPr>
    </w:lvl>
    <w:lvl w:ilvl="4" w:tplc="08090019" w:tentative="1">
      <w:start w:val="1"/>
      <w:numFmt w:val="lowerLetter"/>
      <w:lvlText w:val="%5."/>
      <w:lvlJc w:val="left"/>
      <w:pPr>
        <w:ind w:left="5869" w:hanging="360"/>
      </w:pPr>
    </w:lvl>
    <w:lvl w:ilvl="5" w:tplc="0809001B" w:tentative="1">
      <w:start w:val="1"/>
      <w:numFmt w:val="lowerRoman"/>
      <w:lvlText w:val="%6."/>
      <w:lvlJc w:val="right"/>
      <w:pPr>
        <w:ind w:left="6589" w:hanging="180"/>
      </w:pPr>
    </w:lvl>
    <w:lvl w:ilvl="6" w:tplc="0809000F" w:tentative="1">
      <w:start w:val="1"/>
      <w:numFmt w:val="decimal"/>
      <w:lvlText w:val="%7."/>
      <w:lvlJc w:val="left"/>
      <w:pPr>
        <w:ind w:left="7309" w:hanging="360"/>
      </w:pPr>
    </w:lvl>
    <w:lvl w:ilvl="7" w:tplc="08090019" w:tentative="1">
      <w:start w:val="1"/>
      <w:numFmt w:val="lowerLetter"/>
      <w:lvlText w:val="%8."/>
      <w:lvlJc w:val="left"/>
      <w:pPr>
        <w:ind w:left="8029" w:hanging="360"/>
      </w:pPr>
    </w:lvl>
    <w:lvl w:ilvl="8" w:tplc="0809001B" w:tentative="1">
      <w:start w:val="1"/>
      <w:numFmt w:val="lowerRoman"/>
      <w:lvlText w:val="%9."/>
      <w:lvlJc w:val="right"/>
      <w:pPr>
        <w:ind w:left="8749" w:hanging="180"/>
      </w:pPr>
    </w:lvl>
  </w:abstractNum>
  <w:abstractNum w:abstractNumId="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414C55AE"/>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2"/>
  </w:num>
  <w:num w:numId="4">
    <w:abstractNumId w:val="1"/>
  </w:num>
  <w:num w:numId="5">
    <w:abstractNumId w:val="8"/>
  </w:num>
  <w:num w:numId="6">
    <w:abstractNumId w:val="6"/>
  </w:num>
  <w:num w:numId="7">
    <w:abstractNumId w:val="3"/>
  </w:num>
  <w:num w:numId="8">
    <w:abstractNumId w:val="7"/>
  </w:num>
  <w:num w:numId="9">
    <w:abstractNumId w:val="5"/>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D9"/>
    <w:rsid w:val="000117D4"/>
    <w:rsid w:val="000314D7"/>
    <w:rsid w:val="00045F8B"/>
    <w:rsid w:val="00046D2B"/>
    <w:rsid w:val="00056263"/>
    <w:rsid w:val="00064D8A"/>
    <w:rsid w:val="00064F82"/>
    <w:rsid w:val="00066510"/>
    <w:rsid w:val="00077523"/>
    <w:rsid w:val="000C089F"/>
    <w:rsid w:val="000C3928"/>
    <w:rsid w:val="000C5E8E"/>
    <w:rsid w:val="000F1FF0"/>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34E9"/>
    <w:rsid w:val="001A5731"/>
    <w:rsid w:val="001B42C3"/>
    <w:rsid w:val="001C5D5E"/>
    <w:rsid w:val="001D678D"/>
    <w:rsid w:val="001E03F8"/>
    <w:rsid w:val="001E1678"/>
    <w:rsid w:val="001E1F11"/>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2022"/>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484A"/>
    <w:rsid w:val="00715823"/>
    <w:rsid w:val="00737B93"/>
    <w:rsid w:val="00745BF0"/>
    <w:rsid w:val="007615FE"/>
    <w:rsid w:val="0076655C"/>
    <w:rsid w:val="007742DC"/>
    <w:rsid w:val="00791437"/>
    <w:rsid w:val="007A5A35"/>
    <w:rsid w:val="007B0C2C"/>
    <w:rsid w:val="007B278E"/>
    <w:rsid w:val="007C5C23"/>
    <w:rsid w:val="007E2A26"/>
    <w:rsid w:val="007F2348"/>
    <w:rsid w:val="00803F07"/>
    <w:rsid w:val="0080749A"/>
    <w:rsid w:val="00821FB8"/>
    <w:rsid w:val="00822A80"/>
    <w:rsid w:val="00822ACD"/>
    <w:rsid w:val="00855C66"/>
    <w:rsid w:val="00871EE4"/>
    <w:rsid w:val="008B293F"/>
    <w:rsid w:val="008B7371"/>
    <w:rsid w:val="008D3DDB"/>
    <w:rsid w:val="008F573F"/>
    <w:rsid w:val="009034EC"/>
    <w:rsid w:val="00910AAD"/>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DF2D3F"/>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AD9"/>
    <w:rsid w:val="00F95BC9"/>
    <w:rsid w:val="00FA624C"/>
    <w:rsid w:val="00FD0FAC"/>
    <w:rsid w:val="00FD1DFA"/>
    <w:rsid w:val="00FD4966"/>
    <w:rsid w:val="00FE57DC"/>
    <w:rsid w:val="00FE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71484A"/>
    <w:pPr>
      <w:widowControl w:val="0"/>
      <w:autoSpaceDN w:val="0"/>
      <w:adjustRightInd w:val="0"/>
    </w:pPr>
    <w:rPr>
      <w:rFonts w:ascii="Times New Roman" w:eastAsiaTheme="minorEastAsia" w:hAnsi="Times New Roman"/>
      <w:kern w:val="1"/>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WW-Default">
    <w:name w:val="WW-Default"/>
    <w:uiPriority w:val="99"/>
    <w:rsid w:val="0071484A"/>
    <w:pPr>
      <w:widowControl w:val="0"/>
      <w:autoSpaceDE w:val="0"/>
      <w:autoSpaceDN w:val="0"/>
      <w:adjustRightInd w:val="0"/>
    </w:pPr>
    <w:rPr>
      <w:rFonts w:ascii="T T 6788o 00" w:eastAsiaTheme="minorEastAsia" w:hAnsi="T T 6788o 00" w:cs="T T 6788o 00"/>
      <w:color w:val="000000"/>
      <w:kern w:val="1"/>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CM13">
    <w:name w:val="CM13"/>
    <w:basedOn w:val="WW-Default"/>
    <w:next w:val="WW-Default"/>
    <w:uiPriority w:val="99"/>
    <w:rsid w:val="0071484A"/>
    <w:rPr>
      <w:color w:val="auto"/>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71484A"/>
    <w:pPr>
      <w:widowControl w:val="0"/>
      <w:autoSpaceDN w:val="0"/>
      <w:adjustRightInd w:val="0"/>
    </w:pPr>
    <w:rPr>
      <w:rFonts w:ascii="Times New Roman" w:eastAsiaTheme="minorEastAsia" w:hAnsi="Times New Roman"/>
      <w:kern w:val="1"/>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WW-Default">
    <w:name w:val="WW-Default"/>
    <w:uiPriority w:val="99"/>
    <w:rsid w:val="0071484A"/>
    <w:pPr>
      <w:widowControl w:val="0"/>
      <w:autoSpaceDE w:val="0"/>
      <w:autoSpaceDN w:val="0"/>
      <w:adjustRightInd w:val="0"/>
    </w:pPr>
    <w:rPr>
      <w:rFonts w:ascii="T T 6788o 00" w:eastAsiaTheme="minorEastAsia" w:hAnsi="T T 6788o 00" w:cs="T T 6788o 00"/>
      <w:color w:val="000000"/>
      <w:kern w:val="1"/>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CM13">
    <w:name w:val="CM13"/>
    <w:basedOn w:val="WW-Default"/>
    <w:next w:val="WW-Default"/>
    <w:uiPriority w:val="99"/>
    <w:rsid w:val="0071484A"/>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kennedy@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y%20User%20Profile\jthompson\Desktop\CEB%20report%20-%20blank%20template%20to%20be%20used%20from%20January%202016%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DC09-3DD7-46DD-B94A-DB3C4ABD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(1)</Template>
  <TotalTime>85</TotalTime>
  <Pages>14</Pages>
  <Words>4945</Words>
  <Characters>26296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5</cp:revision>
  <cp:lastPrinted>2015-07-03T13:50:00Z</cp:lastPrinted>
  <dcterms:created xsi:type="dcterms:W3CDTF">2018-02-08T10:54:00Z</dcterms:created>
  <dcterms:modified xsi:type="dcterms:W3CDTF">2018-02-08T12:45:00Z</dcterms:modified>
</cp:coreProperties>
</file>